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72022" w:rsidRPr="00A72022" w:rsidTr="00D511BC">
        <w:tc>
          <w:tcPr>
            <w:tcW w:w="4167"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 xml:space="preserve">      REPUBLICA MOLDOVA</w:t>
            </w:r>
          </w:p>
          <w:p w:rsidR="00A72022" w:rsidRPr="00A72022" w:rsidRDefault="00A72022" w:rsidP="00A72022">
            <w:pPr>
              <w:widowControl w:val="0"/>
              <w:tabs>
                <w:tab w:val="left" w:pos="0"/>
                <w:tab w:val="left" w:pos="180"/>
              </w:tabs>
              <w:autoSpaceDE w:val="0"/>
              <w:autoSpaceDN w:val="0"/>
              <w:adjustRightInd w:val="0"/>
              <w:rPr>
                <w:rFonts w:ascii="Times New Roman" w:hAnsi="Times New Roman"/>
                <w:b/>
                <w:bCs/>
                <w:sz w:val="28"/>
                <w:szCs w:val="28"/>
                <w:lang w:val="ro-MD"/>
              </w:rPr>
            </w:pPr>
            <w:r w:rsidRPr="00A72022">
              <w:rPr>
                <w:rFonts w:ascii="Times New Roman" w:hAnsi="Times New Roman"/>
                <w:b/>
                <w:bCs/>
                <w:sz w:val="28"/>
                <w:szCs w:val="28"/>
                <w:lang w:val="ro-MD"/>
              </w:rPr>
              <w:t>CONSILIUL RAIONAL HÎNCEŞTI</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szCs w:val="20"/>
                <w:lang w:val="ro-MD"/>
              </w:rPr>
            </w:pPr>
            <w:r w:rsidRPr="00A72022">
              <w:rPr>
                <w:rFonts w:ascii="Times New Roman" w:hAnsi="Times New Roman"/>
                <w:color w:val="000000"/>
                <w:sz w:val="20"/>
                <w:lang w:val="ro-MD"/>
              </w:rPr>
              <w:t xml:space="preserve">MD-3400, </w:t>
            </w:r>
            <w:r>
              <w:rPr>
                <w:rFonts w:ascii="Times New Roman" w:hAnsi="Times New Roman"/>
                <w:color w:val="000000"/>
                <w:sz w:val="20"/>
                <w:lang w:val="ro-MD"/>
              </w:rPr>
              <w:t>mun</w:t>
            </w:r>
            <w:r w:rsidRPr="00A72022">
              <w:rPr>
                <w:rFonts w:ascii="Times New Roman" w:hAnsi="Times New Roman"/>
                <w:color w:val="000000"/>
                <w:sz w:val="20"/>
                <w:lang w:val="ro-MD"/>
              </w:rPr>
              <w:t>. Hînceşti, str. M. Hîncu, 138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tel. (269) 2-20-58, fax (269) 2-20-48,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12"/>
                <w:szCs w:val="12"/>
                <w:lang w:val="ro-MD"/>
              </w:rPr>
            </w:pPr>
          </w:p>
        </w:tc>
        <w:tc>
          <w:tcPr>
            <w:tcW w:w="1620" w:type="dxa"/>
            <w:tcBorders>
              <w:top w:val="nil"/>
              <w:left w:val="nil"/>
              <w:bottom w:val="double" w:sz="4" w:space="0" w:color="auto"/>
              <w:right w:val="nil"/>
            </w:tcBorders>
          </w:tcPr>
          <w:p w:rsidR="00A72022" w:rsidRPr="00A72022" w:rsidRDefault="00A72022" w:rsidP="00A72022">
            <w:pPr>
              <w:widowControl w:val="0"/>
              <w:autoSpaceDE w:val="0"/>
              <w:autoSpaceDN w:val="0"/>
              <w:adjustRightInd w:val="0"/>
              <w:rPr>
                <w:rFonts w:ascii="Times New Roman" w:hAnsi="Times New Roman"/>
                <w:color w:val="000000"/>
                <w:sz w:val="28"/>
                <w:szCs w:val="28"/>
                <w:lang w:val="ro-MD"/>
              </w:rPr>
            </w:pPr>
            <w:r w:rsidRPr="00A72022">
              <w:rPr>
                <w:rFonts w:ascii="Times New Roman" w:hAnsi="Times New Roman"/>
                <w:noProof/>
                <w:sz w:val="20"/>
                <w:lang w:val="ro-RO" w:eastAsia="ro-RO"/>
              </w:rPr>
              <w:drawing>
                <wp:inline distT="0" distB="0" distL="0" distR="0">
                  <wp:extent cx="72390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РЕСПУБЛИКА МОЛДОВА</w:t>
            </w:r>
          </w:p>
          <w:p w:rsidR="00A72022" w:rsidRPr="00A72022" w:rsidRDefault="00A72022" w:rsidP="00A72022">
            <w:pPr>
              <w:widowControl w:val="0"/>
              <w:tabs>
                <w:tab w:val="left" w:pos="180"/>
              </w:tabs>
              <w:autoSpaceDE w:val="0"/>
              <w:autoSpaceDN w:val="0"/>
              <w:adjustRightInd w:val="0"/>
              <w:rPr>
                <w:rFonts w:ascii="Times New Roman" w:hAnsi="Times New Roman"/>
                <w:b/>
                <w:bCs/>
                <w:color w:val="000000"/>
                <w:sz w:val="28"/>
                <w:szCs w:val="28"/>
                <w:lang w:val="ro-MD"/>
              </w:rPr>
            </w:pPr>
            <w:r w:rsidRPr="00A72022">
              <w:rPr>
                <w:rFonts w:ascii="Times New Roman" w:hAnsi="Times New Roman"/>
                <w:b/>
                <w:bCs/>
                <w:sz w:val="28"/>
                <w:szCs w:val="28"/>
                <w:lang w:val="ro-MD"/>
              </w:rPr>
              <w:t>РАЙОHНЫЙ СОВЕТ ХЫНЧЕШТЬ</w:t>
            </w:r>
          </w:p>
          <w:p w:rsidR="00A72022" w:rsidRPr="00A72022" w:rsidRDefault="00A72022" w:rsidP="00A72022">
            <w:pPr>
              <w:widowControl w:val="0"/>
              <w:tabs>
                <w:tab w:val="left" w:pos="180"/>
              </w:tabs>
              <w:autoSpaceDE w:val="0"/>
              <w:autoSpaceDN w:val="0"/>
              <w:adjustRightInd w:val="0"/>
              <w:rPr>
                <w:rFonts w:ascii="Times New Roman" w:hAnsi="Times New Roman"/>
                <w:color w:val="000000"/>
                <w:sz w:val="12"/>
                <w:szCs w:val="12"/>
                <w:lang w:val="ro-MD"/>
              </w:rPr>
            </w:pPr>
          </w:p>
          <w:p w:rsidR="00A72022" w:rsidRPr="00A72022" w:rsidRDefault="00A72022" w:rsidP="00A72022">
            <w:pPr>
              <w:widowControl w:val="0"/>
              <w:tabs>
                <w:tab w:val="left" w:pos="180"/>
              </w:tabs>
              <w:autoSpaceDE w:val="0"/>
              <w:autoSpaceDN w:val="0"/>
              <w:adjustRightInd w:val="0"/>
              <w:rPr>
                <w:rFonts w:ascii="Times New Roman" w:hAnsi="Times New Roman"/>
                <w:color w:val="000000"/>
                <w:sz w:val="20"/>
                <w:szCs w:val="20"/>
                <w:lang w:val="ro-MD"/>
              </w:rPr>
            </w:pPr>
            <w:r w:rsidRPr="00A72022">
              <w:rPr>
                <w:rFonts w:ascii="Times New Roman" w:hAnsi="Times New Roman"/>
                <w:color w:val="000000"/>
                <w:sz w:val="20"/>
                <w:lang w:val="ro-MD"/>
              </w:rPr>
              <w:t>МД-3400, г. Хынчешть, ул. М.Хынку, 138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тел. (269) 2-20-58, факс (269) 2-20-48,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autoSpaceDE w:val="0"/>
              <w:autoSpaceDN w:val="0"/>
              <w:adjustRightInd w:val="0"/>
              <w:rPr>
                <w:rFonts w:ascii="Times New Roman" w:hAnsi="Times New Roman"/>
                <w:color w:val="000000"/>
                <w:sz w:val="12"/>
                <w:szCs w:val="12"/>
                <w:lang w:val="ro-MD"/>
              </w:rPr>
            </w:pPr>
          </w:p>
        </w:tc>
      </w:tr>
    </w:tbl>
    <w:p w:rsidR="00A72022" w:rsidRPr="00A72022" w:rsidRDefault="00A72022" w:rsidP="00D511BC">
      <w:pPr>
        <w:jc w:val="right"/>
        <w:rPr>
          <w:rFonts w:ascii="Times New Roman" w:hAnsi="Times New Roman"/>
          <w:b/>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p>
    <w:p w:rsidR="00A72022" w:rsidRPr="00A72022" w:rsidRDefault="00A72022" w:rsidP="00D511BC">
      <w:pPr>
        <w:ind w:left="708" w:firstLine="708"/>
        <w:jc w:val="right"/>
        <w:rPr>
          <w:rFonts w:ascii="Times New Roman" w:hAnsi="Times New Roman"/>
          <w:sz w:val="28"/>
          <w:szCs w:val="28"/>
          <w:u w:val="single"/>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Pr="00A72022">
        <w:rPr>
          <w:rFonts w:ascii="Times New Roman" w:hAnsi="Times New Roman"/>
          <w:b/>
          <w:sz w:val="28"/>
          <w:szCs w:val="28"/>
          <w:u w:val="single"/>
          <w:lang w:val="ro-RO"/>
        </w:rPr>
        <w:t xml:space="preserve">PROIECT          </w:t>
      </w:r>
    </w:p>
    <w:p w:rsidR="00A72022" w:rsidRPr="00A72022" w:rsidRDefault="00A72022" w:rsidP="00A72022">
      <w:pPr>
        <w:jc w:val="both"/>
        <w:rPr>
          <w:rFonts w:ascii="Times New Roman" w:hAnsi="Times New Roman"/>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D E C I Z I E</w:t>
      </w:r>
    </w:p>
    <w:p w:rsidR="00A72022" w:rsidRDefault="00A72022" w:rsidP="00A72022">
      <w:pPr>
        <w:ind w:left="708" w:firstLine="708"/>
        <w:jc w:val="both"/>
        <w:rPr>
          <w:rFonts w:ascii="Times New Roman" w:hAnsi="Times New Roman"/>
          <w:b/>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mun.Hînceşti</w:t>
      </w:r>
    </w:p>
    <w:p w:rsidR="00A72022" w:rsidRPr="00A72022" w:rsidRDefault="00A72022" w:rsidP="00A72022">
      <w:pPr>
        <w:ind w:left="708" w:firstLine="708"/>
        <w:jc w:val="both"/>
        <w:rPr>
          <w:rFonts w:ascii="Times New Roman" w:hAnsi="Times New Roman"/>
          <w:b/>
          <w:sz w:val="28"/>
          <w:szCs w:val="28"/>
          <w:lang w:val="ro-RO"/>
        </w:rPr>
      </w:pPr>
    </w:p>
    <w:p w:rsidR="00A72022" w:rsidRPr="00A72022" w:rsidRDefault="00A72022" w:rsidP="00A72022">
      <w:pPr>
        <w:ind w:firstLine="708"/>
        <w:jc w:val="both"/>
        <w:rPr>
          <w:rFonts w:ascii="Times New Roman" w:hAnsi="Times New Roman"/>
          <w:sz w:val="28"/>
          <w:szCs w:val="28"/>
          <w:lang w:val="ro-RO"/>
        </w:rPr>
      </w:pPr>
      <w:r w:rsidRPr="00A72022">
        <w:rPr>
          <w:rFonts w:ascii="Times New Roman" w:hAnsi="Times New Roman"/>
          <w:b/>
          <w:sz w:val="28"/>
          <w:szCs w:val="28"/>
          <w:lang w:val="ro-RO"/>
        </w:rPr>
        <w:t xml:space="preserve">din  ____ </w:t>
      </w:r>
      <w:r>
        <w:rPr>
          <w:rFonts w:ascii="Times New Roman" w:hAnsi="Times New Roman"/>
          <w:b/>
          <w:sz w:val="28"/>
          <w:szCs w:val="28"/>
          <w:lang w:val="ro-RO"/>
        </w:rPr>
        <w:t xml:space="preserve">iunie </w:t>
      </w:r>
      <w:r w:rsidRPr="00A72022">
        <w:rPr>
          <w:rFonts w:ascii="Times New Roman" w:hAnsi="Times New Roman"/>
          <w:b/>
          <w:sz w:val="28"/>
          <w:szCs w:val="28"/>
          <w:lang w:val="ro-RO"/>
        </w:rPr>
        <w:t xml:space="preserve">2024   </w:t>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00636719">
        <w:rPr>
          <w:rFonts w:ascii="Times New Roman" w:hAnsi="Times New Roman"/>
          <w:b/>
          <w:sz w:val="28"/>
          <w:szCs w:val="28"/>
          <w:lang w:val="ro-RO"/>
        </w:rPr>
        <w:t xml:space="preserve">        </w:t>
      </w:r>
      <w:r w:rsidR="00636719">
        <w:rPr>
          <w:rFonts w:ascii="Times New Roman" w:hAnsi="Times New Roman"/>
          <w:b/>
          <w:sz w:val="28"/>
          <w:szCs w:val="28"/>
          <w:lang w:val="ro-RO"/>
        </w:rPr>
        <w:tab/>
        <w:t xml:space="preserve">                   </w:t>
      </w:r>
      <w:r w:rsidRPr="00A72022">
        <w:rPr>
          <w:rFonts w:ascii="Times New Roman" w:hAnsi="Times New Roman"/>
          <w:b/>
          <w:sz w:val="28"/>
          <w:szCs w:val="28"/>
          <w:lang w:val="ro-RO"/>
        </w:rPr>
        <w:t xml:space="preserve"> nr. 03/</w:t>
      </w:r>
    </w:p>
    <w:p w:rsidR="00A72022" w:rsidRPr="00E52EA9" w:rsidRDefault="00A72022" w:rsidP="00D511BC">
      <w:pPr>
        <w:pStyle w:val="23"/>
        <w:keepNext/>
        <w:keepLines/>
        <w:shd w:val="clear" w:color="auto" w:fill="auto"/>
        <w:spacing w:before="0" w:line="322" w:lineRule="exact"/>
        <w:ind w:left="20" w:right="4820"/>
        <w:jc w:val="left"/>
        <w:rPr>
          <w:rFonts w:ascii="Times New Roman" w:hAnsi="Times New Roman"/>
          <w:b/>
          <w:sz w:val="28"/>
          <w:szCs w:val="28"/>
          <w:lang w:val="pt-BR"/>
        </w:rPr>
      </w:pPr>
      <w:bookmarkStart w:id="0" w:name="bookmark4"/>
    </w:p>
    <w:bookmarkEnd w:id="0"/>
    <w:p w:rsidR="00010A67" w:rsidRPr="00010A67" w:rsidRDefault="00612D78" w:rsidP="00010A67">
      <w:pPr>
        <w:spacing w:before="229"/>
        <w:ind w:right="5389"/>
        <w:jc w:val="left"/>
        <w:rPr>
          <w:rFonts w:ascii="Times New Roman" w:hAnsi="Times New Roman"/>
          <w:b/>
          <w:sz w:val="26"/>
          <w:szCs w:val="26"/>
        </w:rPr>
      </w:pPr>
      <w:r>
        <w:rPr>
          <w:rFonts w:ascii="Times New Roman" w:hAnsi="Times New Roman"/>
          <w:b/>
          <w:sz w:val="26"/>
        </w:rPr>
        <w:t>Cu privire la aprobarea</w:t>
      </w:r>
      <w:r>
        <w:rPr>
          <w:rFonts w:ascii="Times New Roman" w:hAnsi="Times New Roman"/>
          <w:b/>
          <w:sz w:val="26"/>
          <w:lang w:val="ro-RO"/>
        </w:rPr>
        <w:t xml:space="preserve"> </w:t>
      </w:r>
      <w:r w:rsidR="00010A67" w:rsidRPr="00010A67">
        <w:rPr>
          <w:rFonts w:ascii="Times New Roman" w:hAnsi="Times New Roman"/>
          <w:b/>
          <w:sz w:val="26"/>
        </w:rPr>
        <w:t>Programul teritorial</w:t>
      </w:r>
      <w:r w:rsidR="00010A67" w:rsidRPr="00010A67">
        <w:rPr>
          <w:rFonts w:ascii="Times New Roman" w:hAnsi="Times New Roman"/>
          <w:b/>
          <w:spacing w:val="2"/>
          <w:sz w:val="26"/>
        </w:rPr>
        <w:t xml:space="preserve"> </w:t>
      </w:r>
      <w:r w:rsidR="00010A67" w:rsidRPr="00010A67">
        <w:rPr>
          <w:rFonts w:ascii="Times New Roman" w:hAnsi="Times New Roman"/>
          <w:b/>
          <w:sz w:val="26"/>
        </w:rPr>
        <w:t>de</w:t>
      </w:r>
      <w:r w:rsidR="00010A67" w:rsidRPr="00010A67">
        <w:rPr>
          <w:rFonts w:ascii="Times New Roman" w:hAnsi="Times New Roman"/>
          <w:b/>
          <w:spacing w:val="-1"/>
          <w:sz w:val="26"/>
        </w:rPr>
        <w:t xml:space="preserve"> </w:t>
      </w:r>
      <w:r w:rsidR="00010A67" w:rsidRPr="00010A67">
        <w:rPr>
          <w:rFonts w:ascii="Times New Roman" w:hAnsi="Times New Roman"/>
          <w:b/>
          <w:sz w:val="26"/>
          <w:szCs w:val="26"/>
        </w:rPr>
        <w:t>imunizări în raionul Hîncești pentru anii 2024-2027</w:t>
      </w:r>
    </w:p>
    <w:p w:rsidR="00A72022" w:rsidRPr="00A72022" w:rsidRDefault="00A72022" w:rsidP="00010A67">
      <w:pPr>
        <w:jc w:val="both"/>
        <w:rPr>
          <w:rFonts w:ascii="Times New Roman" w:hAnsi="Times New Roman"/>
          <w:bCs/>
          <w:color w:val="000000"/>
          <w:sz w:val="28"/>
          <w:szCs w:val="28"/>
          <w:lang w:val="ro-RO" w:eastAsia="zh-CN"/>
        </w:rPr>
      </w:pPr>
      <w:r w:rsidRPr="00A72022">
        <w:rPr>
          <w:rFonts w:ascii="Times New Roman" w:hAnsi="Times New Roman"/>
          <w:bCs/>
          <w:color w:val="000000"/>
          <w:sz w:val="28"/>
          <w:szCs w:val="28"/>
          <w:lang w:val="ro-RO" w:eastAsia="zh-CN"/>
        </w:rPr>
        <w:t xml:space="preserve"> </w:t>
      </w:r>
    </w:p>
    <w:p w:rsidR="00A72022" w:rsidRPr="00F937AC" w:rsidRDefault="00A72022" w:rsidP="00D511BC">
      <w:pPr>
        <w:jc w:val="both"/>
        <w:rPr>
          <w:rStyle w:val="af4"/>
          <w:rFonts w:eastAsia="Calibri"/>
          <w:b w:val="0"/>
          <w:color w:val="000000" w:themeColor="text1"/>
          <w:sz w:val="28"/>
          <w:szCs w:val="28"/>
          <w:shd w:val="clear" w:color="auto" w:fill="auto"/>
          <w:lang w:val="ro-RO" w:eastAsia="zh-CN"/>
        </w:rPr>
      </w:pPr>
      <w:r w:rsidRPr="00F937AC">
        <w:rPr>
          <w:rFonts w:ascii="Times New Roman" w:hAnsi="Times New Roman"/>
          <w:bCs/>
          <w:color w:val="000000"/>
          <w:sz w:val="28"/>
          <w:szCs w:val="28"/>
          <w:lang w:val="ro-RO" w:eastAsia="zh-CN"/>
        </w:rPr>
        <w:t xml:space="preserve"> </w:t>
      </w:r>
      <w:r w:rsidR="00E52EA9">
        <w:rPr>
          <w:rFonts w:ascii="Times New Roman" w:hAnsi="Times New Roman"/>
          <w:bCs/>
          <w:color w:val="000000"/>
          <w:sz w:val="28"/>
          <w:szCs w:val="28"/>
          <w:lang w:val="ro-RO" w:eastAsia="zh-CN"/>
        </w:rPr>
        <w:t xml:space="preserve">          </w:t>
      </w:r>
      <w:r w:rsidRPr="00010A67">
        <w:rPr>
          <w:rFonts w:ascii="Times New Roman" w:hAnsi="Times New Roman"/>
          <w:bCs/>
          <w:color w:val="000000"/>
          <w:sz w:val="28"/>
          <w:szCs w:val="28"/>
          <w:lang w:val="ro-RO" w:eastAsia="zh-CN"/>
        </w:rPr>
        <w:t xml:space="preserve">În temeiul </w:t>
      </w:r>
      <w:r w:rsidRPr="00010A67">
        <w:rPr>
          <w:rFonts w:ascii="Times New Roman" w:hAnsi="Times New Roman"/>
          <w:color w:val="000000"/>
          <w:sz w:val="28"/>
          <w:szCs w:val="28"/>
          <w:lang w:val="ro-RO" w:eastAsia="zh-CN"/>
        </w:rPr>
        <w:t xml:space="preserve">cu art. 43 alin.(1), lit.j), art. 46 al Legii nr. 436/2006 ,,privind administraţia  publică locală”, </w:t>
      </w:r>
      <w:r w:rsidR="00010A67" w:rsidRPr="00010A67">
        <w:rPr>
          <w:rFonts w:ascii="Times New Roman" w:hAnsi="Times New Roman"/>
          <w:sz w:val="28"/>
          <w:szCs w:val="28"/>
          <w:lang w:eastAsia="zh-CN"/>
        </w:rPr>
        <w:t>Legii ocrotirii sănătății nr. 411-XIII din 28 martie</w:t>
      </w:r>
      <w:r w:rsidR="00A50053">
        <w:rPr>
          <w:rFonts w:ascii="Times New Roman" w:hAnsi="Times New Roman"/>
          <w:sz w:val="28"/>
          <w:szCs w:val="28"/>
          <w:lang w:eastAsia="zh-CN"/>
        </w:rPr>
        <w:t xml:space="preserve"> 19</w:t>
      </w:r>
      <w:r w:rsidR="00A50053" w:rsidRPr="00A50053">
        <w:rPr>
          <w:rFonts w:ascii="Times New Roman" w:hAnsi="Times New Roman"/>
          <w:sz w:val="28"/>
          <w:szCs w:val="28"/>
          <w:lang w:val="ro-RO" w:eastAsia="zh-CN"/>
        </w:rPr>
        <w:t>9</w:t>
      </w:r>
      <w:bookmarkStart w:id="1" w:name="_GoBack"/>
      <w:bookmarkEnd w:id="1"/>
      <w:r w:rsidR="00612D78">
        <w:rPr>
          <w:rFonts w:ascii="Times New Roman" w:hAnsi="Times New Roman"/>
          <w:sz w:val="28"/>
          <w:szCs w:val="28"/>
          <w:lang w:eastAsia="zh-CN"/>
        </w:rPr>
        <w:t>5</w:t>
      </w:r>
      <w:r w:rsidR="00010A67" w:rsidRPr="00010A67">
        <w:rPr>
          <w:rFonts w:ascii="Times New Roman" w:hAnsi="Times New Roman"/>
          <w:sz w:val="28"/>
          <w:szCs w:val="28"/>
          <w:lang w:eastAsia="zh-CN"/>
        </w:rPr>
        <w:t>, Legii privind supraveghere</w:t>
      </w:r>
      <w:r w:rsidR="00636719">
        <w:rPr>
          <w:rFonts w:ascii="Times New Roman" w:hAnsi="Times New Roman"/>
          <w:sz w:val="28"/>
          <w:szCs w:val="28"/>
          <w:lang w:val="ro-RO" w:eastAsia="zh-CN"/>
        </w:rPr>
        <w:t>a</w:t>
      </w:r>
      <w:r w:rsidR="00010A67" w:rsidRPr="00010A67">
        <w:rPr>
          <w:rFonts w:ascii="Times New Roman" w:hAnsi="Times New Roman"/>
          <w:sz w:val="28"/>
          <w:szCs w:val="28"/>
          <w:lang w:eastAsia="zh-CN"/>
        </w:rPr>
        <w:t xml:space="preserve"> de stat a sănătății publice nr. 10 -XVI din 3 februarie 2009</w:t>
      </w:r>
      <w:r w:rsidR="00010A67">
        <w:rPr>
          <w:rFonts w:ascii="Times New Roman" w:hAnsi="Times New Roman"/>
          <w:sz w:val="28"/>
          <w:szCs w:val="28"/>
          <w:lang w:val="ro-RO" w:eastAsia="zh-CN"/>
        </w:rPr>
        <w:t>,</w:t>
      </w:r>
      <w:r w:rsidR="00010A67" w:rsidRPr="00010A67">
        <w:rPr>
          <w:rFonts w:ascii="Times New Roman" w:hAnsi="Times New Roman"/>
          <w:sz w:val="28"/>
          <w:szCs w:val="28"/>
          <w:lang w:eastAsia="zh-CN"/>
        </w:rPr>
        <w:t xml:space="preserve"> Programului Național de imunizări pentru anii 2023-2027, aprobat prin Hotărîrea Guvernului Republicii Moldova nr.</w:t>
      </w:r>
      <w:r w:rsidR="00010A67">
        <w:rPr>
          <w:rFonts w:ascii="Times New Roman" w:hAnsi="Times New Roman"/>
          <w:sz w:val="28"/>
          <w:szCs w:val="28"/>
          <w:lang w:eastAsia="zh-CN"/>
        </w:rPr>
        <w:t xml:space="preserve"> 211 din 12 aprilie 2024</w:t>
      </w:r>
      <w:r w:rsidR="00010A67" w:rsidRPr="00010A67">
        <w:rPr>
          <w:rFonts w:ascii="Times New Roman" w:hAnsi="Times New Roman"/>
          <w:sz w:val="28"/>
          <w:szCs w:val="28"/>
          <w:lang w:eastAsia="zh-CN"/>
        </w:rPr>
        <w:t>,</w:t>
      </w:r>
      <w:r w:rsidR="00F937AC" w:rsidRPr="00010A67">
        <w:rPr>
          <w:rFonts w:ascii="Times New Roman" w:hAnsi="Times New Roman"/>
          <w:bCs/>
          <w:color w:val="000000" w:themeColor="text1"/>
          <w:sz w:val="28"/>
          <w:szCs w:val="28"/>
          <w:lang w:val="ro-RO" w:eastAsia="zh-CN"/>
        </w:rPr>
        <w:t xml:space="preserve"> </w:t>
      </w:r>
      <w:r w:rsidR="00D511BC" w:rsidRPr="00010A67">
        <w:rPr>
          <w:rFonts w:ascii="Times New Roman" w:hAnsi="Times New Roman"/>
          <w:sz w:val="28"/>
          <w:szCs w:val="28"/>
          <w:lang w:val="ro-RO" w:eastAsia="zh-CN"/>
        </w:rPr>
        <w:t>coroborate cu</w:t>
      </w:r>
      <w:r w:rsidR="00D511BC" w:rsidRPr="00F937AC">
        <w:rPr>
          <w:rFonts w:ascii="Times New Roman" w:hAnsi="Times New Roman"/>
          <w:sz w:val="28"/>
          <w:szCs w:val="28"/>
          <w:lang w:val="ro-RO" w:eastAsia="zh-CN"/>
        </w:rPr>
        <w:t xml:space="preserve"> art. 118; 120; 132 Cod Administrativ nr. 116/2018, </w:t>
      </w:r>
      <w:r w:rsidRPr="00F937AC">
        <w:rPr>
          <w:rFonts w:ascii="Times New Roman" w:hAnsi="Times New Roman"/>
          <w:bCs/>
          <w:color w:val="000000"/>
          <w:sz w:val="28"/>
          <w:szCs w:val="28"/>
          <w:lang w:val="ro-RO" w:eastAsia="zh-CN"/>
        </w:rPr>
        <w:t xml:space="preserve">şi </w:t>
      </w:r>
      <w:r w:rsidR="00AA1126" w:rsidRPr="00AA1126">
        <w:rPr>
          <w:rFonts w:ascii="Times New Roman" w:hAnsi="Times New Roman"/>
          <w:bCs/>
          <w:sz w:val="28"/>
          <w:szCs w:val="28"/>
          <w:lang w:val="ro-RO" w:eastAsia="zh-CN"/>
        </w:rPr>
        <w:t xml:space="preserve">întru </w:t>
      </w:r>
      <w:r w:rsidR="00AA1126" w:rsidRPr="00AA1126">
        <w:rPr>
          <w:rFonts w:ascii="Times New Roman" w:hAnsi="Times New Roman"/>
          <w:sz w:val="28"/>
          <w:szCs w:val="28"/>
        </w:rPr>
        <w:t>asigurarea procesului de vaccinare contra maladii</w:t>
      </w:r>
      <w:sdt>
        <w:sdtPr>
          <w:rPr>
            <w:rFonts w:ascii="Times New Roman" w:hAnsi="Times New Roman"/>
            <w:sz w:val="28"/>
            <w:szCs w:val="28"/>
          </w:rPr>
          <w:tag w:val="goog_rdk_23"/>
          <w:id w:val="471328141"/>
        </w:sdtPr>
        <w:sdtEndPr/>
        <w:sdtContent>
          <w:r w:rsidR="00AA1126" w:rsidRPr="00AA1126">
            <w:rPr>
              <w:rFonts w:ascii="Times New Roman" w:hAnsi="Times New Roman"/>
              <w:sz w:val="28"/>
              <w:szCs w:val="28"/>
            </w:rPr>
            <w:t>lor</w:t>
          </w:r>
        </w:sdtContent>
      </w:sdt>
      <w:r w:rsidR="00AA1126" w:rsidRPr="00AA1126">
        <w:rPr>
          <w:rFonts w:ascii="Times New Roman" w:hAnsi="Times New Roman"/>
          <w:sz w:val="28"/>
          <w:szCs w:val="28"/>
        </w:rPr>
        <w:t xml:space="preserve"> care pot fi prevenite prin vaccinare, în vederea diminuării poverii financiare și sociale determinate de acestea</w:t>
      </w:r>
      <w:r w:rsidRPr="00F937AC">
        <w:rPr>
          <w:rFonts w:ascii="Times New Roman" w:hAnsi="Times New Roman"/>
          <w:bCs/>
          <w:sz w:val="28"/>
          <w:szCs w:val="28"/>
          <w:lang w:val="ro-RO" w:eastAsia="zh-CN"/>
        </w:rPr>
        <w:t>,</w:t>
      </w:r>
      <w:r w:rsidRPr="00F937AC">
        <w:rPr>
          <w:rFonts w:ascii="Times New Roman" w:hAnsi="Times New Roman"/>
          <w:b/>
          <w:bCs/>
          <w:sz w:val="28"/>
          <w:szCs w:val="28"/>
          <w:lang w:val="ro-RO" w:eastAsia="zh-CN"/>
        </w:rPr>
        <w:t xml:space="preserve"> </w:t>
      </w:r>
      <w:r w:rsidRPr="00F937AC">
        <w:rPr>
          <w:rFonts w:ascii="Times New Roman" w:hAnsi="Times New Roman"/>
          <w:sz w:val="28"/>
          <w:szCs w:val="28"/>
          <w:lang w:val="ro-RO" w:eastAsia="zh-CN"/>
        </w:rPr>
        <w:t xml:space="preserve">Consiliul Raional Hînceşti </w:t>
      </w:r>
      <w:r w:rsidRPr="00F937AC">
        <w:rPr>
          <w:rStyle w:val="af4"/>
          <w:rFonts w:eastAsia="Calibri"/>
          <w:sz w:val="28"/>
          <w:szCs w:val="28"/>
          <w:lang w:val="ro-RO" w:eastAsia="zh-CN"/>
        </w:rPr>
        <w:t>D E C I D E:</w:t>
      </w:r>
    </w:p>
    <w:p w:rsidR="00A72022" w:rsidRPr="00F937AC" w:rsidRDefault="00A72022" w:rsidP="00D511BC">
      <w:pPr>
        <w:pStyle w:val="af0"/>
        <w:shd w:val="clear" w:color="auto" w:fill="FFFFFF"/>
        <w:ind w:firstLine="540"/>
        <w:rPr>
          <w:rStyle w:val="af4"/>
          <w:b w:val="0"/>
          <w:bCs w:val="0"/>
          <w:sz w:val="28"/>
          <w:szCs w:val="28"/>
          <w:lang w:val="ro-RO" w:eastAsia="zh-CN"/>
        </w:rPr>
      </w:pPr>
    </w:p>
    <w:p w:rsidR="00010A67" w:rsidRPr="00010A67" w:rsidRDefault="00010A67" w:rsidP="00010A67">
      <w:pPr>
        <w:pStyle w:val="a5"/>
        <w:numPr>
          <w:ilvl w:val="0"/>
          <w:numId w:val="1"/>
        </w:numPr>
        <w:spacing w:before="6"/>
        <w:rPr>
          <w:sz w:val="28"/>
          <w:szCs w:val="28"/>
        </w:rPr>
      </w:pPr>
      <w:r w:rsidRPr="00010A67">
        <w:rPr>
          <w:sz w:val="28"/>
          <w:szCs w:val="28"/>
        </w:rPr>
        <w:t>Se aprobă :</w:t>
      </w:r>
    </w:p>
    <w:p w:rsidR="00010A67" w:rsidRPr="00010A67" w:rsidRDefault="00010A67" w:rsidP="00010A67">
      <w:pPr>
        <w:pStyle w:val="a5"/>
        <w:numPr>
          <w:ilvl w:val="1"/>
          <w:numId w:val="1"/>
        </w:numPr>
        <w:spacing w:before="6"/>
        <w:rPr>
          <w:sz w:val="28"/>
          <w:szCs w:val="28"/>
        </w:rPr>
      </w:pPr>
      <w:r w:rsidRPr="00010A67">
        <w:rPr>
          <w:sz w:val="28"/>
          <w:szCs w:val="28"/>
        </w:rPr>
        <w:t xml:space="preserve">Programul </w:t>
      </w:r>
      <w:bookmarkStart w:id="2" w:name="_Hlk162513287"/>
      <w:r w:rsidRPr="00010A67">
        <w:rPr>
          <w:sz w:val="28"/>
          <w:szCs w:val="28"/>
        </w:rPr>
        <w:t xml:space="preserve">Teritorial de imunizări pentru anii 2024-2027 în raionul Hîncești </w:t>
      </w:r>
      <w:bookmarkEnd w:id="2"/>
      <w:r w:rsidRPr="00010A67">
        <w:rPr>
          <w:sz w:val="28"/>
          <w:szCs w:val="28"/>
        </w:rPr>
        <w:t>(anexa nr. 1);</w:t>
      </w:r>
    </w:p>
    <w:p w:rsidR="00010A67" w:rsidRPr="00010A67" w:rsidRDefault="00010A67" w:rsidP="00010A67">
      <w:pPr>
        <w:pStyle w:val="a5"/>
        <w:numPr>
          <w:ilvl w:val="1"/>
          <w:numId w:val="1"/>
        </w:numPr>
        <w:spacing w:before="6"/>
        <w:rPr>
          <w:sz w:val="28"/>
          <w:szCs w:val="28"/>
        </w:rPr>
      </w:pPr>
      <w:r w:rsidRPr="00010A67">
        <w:rPr>
          <w:sz w:val="28"/>
          <w:szCs w:val="28"/>
        </w:rPr>
        <w:t>Planul de acțiuni privind implimentarea Programului (anexa nr. 2);</w:t>
      </w:r>
    </w:p>
    <w:p w:rsidR="00010A67" w:rsidRPr="00010A67" w:rsidRDefault="00010A67" w:rsidP="00010A67">
      <w:pPr>
        <w:pStyle w:val="a5"/>
        <w:numPr>
          <w:ilvl w:val="1"/>
          <w:numId w:val="1"/>
        </w:numPr>
        <w:spacing w:before="6"/>
        <w:rPr>
          <w:sz w:val="28"/>
          <w:szCs w:val="28"/>
        </w:rPr>
      </w:pPr>
      <w:r w:rsidRPr="00010A67">
        <w:rPr>
          <w:sz w:val="28"/>
          <w:szCs w:val="28"/>
        </w:rPr>
        <w:t>Indicatorii activităților de monitorizare, evaluare și raportare (anexa nr. 3);</w:t>
      </w:r>
    </w:p>
    <w:p w:rsidR="00010A67" w:rsidRPr="00010A67" w:rsidRDefault="00010A67" w:rsidP="00010A67">
      <w:pPr>
        <w:pStyle w:val="a5"/>
        <w:numPr>
          <w:ilvl w:val="1"/>
          <w:numId w:val="1"/>
        </w:numPr>
        <w:spacing w:before="6"/>
        <w:rPr>
          <w:sz w:val="28"/>
          <w:szCs w:val="28"/>
        </w:rPr>
      </w:pPr>
      <w:r w:rsidRPr="00010A67">
        <w:rPr>
          <w:sz w:val="28"/>
          <w:szCs w:val="28"/>
        </w:rPr>
        <w:t xml:space="preserve">Calendarul național </w:t>
      </w:r>
      <w:r w:rsidR="000C4925">
        <w:rPr>
          <w:sz w:val="28"/>
          <w:szCs w:val="28"/>
        </w:rPr>
        <w:t>de vaccinare al Republicii Moldo</w:t>
      </w:r>
      <w:r w:rsidRPr="00010A67">
        <w:rPr>
          <w:sz w:val="28"/>
          <w:szCs w:val="28"/>
        </w:rPr>
        <w:t>va, conform anexei 4;</w:t>
      </w:r>
    </w:p>
    <w:p w:rsidR="00010A67" w:rsidRPr="00010A67" w:rsidRDefault="00010A67" w:rsidP="00010A67">
      <w:pPr>
        <w:pStyle w:val="a5"/>
        <w:numPr>
          <w:ilvl w:val="0"/>
          <w:numId w:val="1"/>
        </w:numPr>
        <w:spacing w:before="6"/>
        <w:rPr>
          <w:sz w:val="28"/>
          <w:szCs w:val="28"/>
        </w:rPr>
      </w:pPr>
      <w:r w:rsidRPr="00010A67">
        <w:rPr>
          <w:sz w:val="28"/>
          <w:szCs w:val="28"/>
        </w:rPr>
        <w:t>Conducătorii IMSP Spitalul Raional și IMSP C</w:t>
      </w:r>
      <w:r w:rsidR="00AA1126">
        <w:rPr>
          <w:sz w:val="28"/>
          <w:szCs w:val="28"/>
        </w:rPr>
        <w:t xml:space="preserve">entrele de </w:t>
      </w:r>
      <w:r w:rsidRPr="00010A67">
        <w:rPr>
          <w:sz w:val="28"/>
          <w:szCs w:val="28"/>
        </w:rPr>
        <w:t>S</w:t>
      </w:r>
      <w:r w:rsidR="00AA1126">
        <w:rPr>
          <w:sz w:val="28"/>
          <w:szCs w:val="28"/>
        </w:rPr>
        <w:t xml:space="preserve">ănătate </w:t>
      </w:r>
      <w:r w:rsidRPr="00010A67">
        <w:rPr>
          <w:sz w:val="28"/>
          <w:szCs w:val="28"/>
        </w:rPr>
        <w:t xml:space="preserve"> teritoriale, autonome și private, CIMF:</w:t>
      </w:r>
    </w:p>
    <w:p w:rsidR="00010A67" w:rsidRPr="00010A67" w:rsidRDefault="00010A67" w:rsidP="00010A67">
      <w:pPr>
        <w:pStyle w:val="a5"/>
        <w:numPr>
          <w:ilvl w:val="1"/>
          <w:numId w:val="1"/>
        </w:numPr>
        <w:spacing w:before="6"/>
        <w:rPr>
          <w:sz w:val="28"/>
          <w:szCs w:val="28"/>
        </w:rPr>
      </w:pPr>
      <w:r w:rsidRPr="00010A67">
        <w:rPr>
          <w:sz w:val="28"/>
          <w:szCs w:val="28"/>
        </w:rPr>
        <w:t>vor asigura elaborarea și executarea planurilor anuale de imunizare, asigurînd calitatea serviciilor prestate;</w:t>
      </w:r>
    </w:p>
    <w:p w:rsidR="00010A67" w:rsidRPr="00010A67" w:rsidRDefault="00010A67" w:rsidP="00010A67">
      <w:pPr>
        <w:pStyle w:val="a5"/>
        <w:numPr>
          <w:ilvl w:val="1"/>
          <w:numId w:val="1"/>
        </w:numPr>
        <w:spacing w:before="6"/>
        <w:rPr>
          <w:sz w:val="28"/>
          <w:szCs w:val="28"/>
        </w:rPr>
      </w:pPr>
      <w:r w:rsidRPr="00010A67">
        <w:rPr>
          <w:sz w:val="28"/>
          <w:szCs w:val="28"/>
        </w:rPr>
        <w:t>vor prezenta în adresa Centrului de Sănătate Publică raionul Hîncești, lunar, informații privind executarea Programul Teritorial de imunizări pentru anii 2024-2027 în raionul Hîncești;</w:t>
      </w:r>
    </w:p>
    <w:p w:rsidR="00010A67" w:rsidRPr="00010A67" w:rsidRDefault="00010A67" w:rsidP="00010A67">
      <w:pPr>
        <w:pStyle w:val="a5"/>
        <w:numPr>
          <w:ilvl w:val="1"/>
          <w:numId w:val="1"/>
        </w:numPr>
        <w:spacing w:before="6"/>
        <w:rPr>
          <w:sz w:val="28"/>
          <w:szCs w:val="28"/>
        </w:rPr>
      </w:pPr>
      <w:r w:rsidRPr="00010A67">
        <w:rPr>
          <w:sz w:val="28"/>
          <w:szCs w:val="28"/>
        </w:rPr>
        <w:t>vor prezenta , în ordinea stabilită, calculele necesare și propuneri la aprobarea bugetului raional pentru finanțarea Programului Teritorial;</w:t>
      </w:r>
    </w:p>
    <w:p w:rsidR="00010A67" w:rsidRPr="00010A67" w:rsidRDefault="00010A67" w:rsidP="00010A67">
      <w:pPr>
        <w:pStyle w:val="a5"/>
        <w:numPr>
          <w:ilvl w:val="1"/>
          <w:numId w:val="1"/>
        </w:numPr>
        <w:spacing w:before="6"/>
        <w:rPr>
          <w:sz w:val="28"/>
          <w:szCs w:val="28"/>
        </w:rPr>
      </w:pPr>
      <w:r w:rsidRPr="00010A67">
        <w:rPr>
          <w:sz w:val="28"/>
          <w:szCs w:val="28"/>
        </w:rPr>
        <w:lastRenderedPageBreak/>
        <w:t>vor colabora cu organele publice locale, organizații nonguvernamentale, confesii religioase în scopul realizării Programului.</w:t>
      </w:r>
    </w:p>
    <w:p w:rsidR="00010A67" w:rsidRPr="00010A67" w:rsidRDefault="00010A67" w:rsidP="00010A67">
      <w:pPr>
        <w:pStyle w:val="a5"/>
        <w:numPr>
          <w:ilvl w:val="0"/>
          <w:numId w:val="1"/>
        </w:numPr>
        <w:spacing w:before="6"/>
        <w:rPr>
          <w:sz w:val="28"/>
          <w:szCs w:val="28"/>
        </w:rPr>
      </w:pPr>
      <w:r w:rsidRPr="00010A67">
        <w:rPr>
          <w:sz w:val="28"/>
          <w:szCs w:val="28"/>
        </w:rPr>
        <w:t>Se recomandă Centrului de Sănăt</w:t>
      </w:r>
      <w:r w:rsidR="00AA1126">
        <w:rPr>
          <w:sz w:val="28"/>
          <w:szCs w:val="28"/>
        </w:rPr>
        <w:t>ate Publică Raionul Hîncești (d</w:t>
      </w:r>
      <w:r w:rsidRPr="00010A67">
        <w:rPr>
          <w:sz w:val="28"/>
          <w:szCs w:val="28"/>
        </w:rPr>
        <w:t>l Oleg CEBOTARI, șef Direcției C</w:t>
      </w:r>
      <w:r w:rsidR="00AA1126">
        <w:rPr>
          <w:sz w:val="28"/>
          <w:szCs w:val="28"/>
        </w:rPr>
        <w:t xml:space="preserve">entrul de </w:t>
      </w:r>
      <w:r w:rsidRPr="00010A67">
        <w:rPr>
          <w:sz w:val="28"/>
          <w:szCs w:val="28"/>
        </w:rPr>
        <w:t>S</w:t>
      </w:r>
      <w:r w:rsidR="00AA1126">
        <w:rPr>
          <w:sz w:val="28"/>
          <w:szCs w:val="28"/>
        </w:rPr>
        <w:t xml:space="preserve">ănătate </w:t>
      </w:r>
      <w:r w:rsidRPr="00010A67">
        <w:rPr>
          <w:sz w:val="28"/>
          <w:szCs w:val="28"/>
        </w:rPr>
        <w:t>P</w:t>
      </w:r>
      <w:r w:rsidR="00AA1126">
        <w:rPr>
          <w:sz w:val="28"/>
          <w:szCs w:val="28"/>
        </w:rPr>
        <w:t>ublică</w:t>
      </w:r>
      <w:r w:rsidRPr="00010A67">
        <w:rPr>
          <w:sz w:val="28"/>
          <w:szCs w:val="28"/>
        </w:rPr>
        <w:t xml:space="preserve"> Hîncești)</w:t>
      </w:r>
    </w:p>
    <w:p w:rsidR="00010A67" w:rsidRPr="00010A67" w:rsidRDefault="00010A67" w:rsidP="00010A67">
      <w:pPr>
        <w:pStyle w:val="a5"/>
        <w:numPr>
          <w:ilvl w:val="1"/>
          <w:numId w:val="1"/>
        </w:numPr>
        <w:spacing w:before="6"/>
        <w:rPr>
          <w:sz w:val="28"/>
          <w:szCs w:val="28"/>
        </w:rPr>
      </w:pPr>
      <w:r w:rsidRPr="00010A67">
        <w:rPr>
          <w:sz w:val="28"/>
          <w:szCs w:val="28"/>
        </w:rPr>
        <w:t>Coordonarea și monitorizare, în limitele competenței, a realizării programului nominalizat;</w:t>
      </w:r>
    </w:p>
    <w:p w:rsidR="00010A67" w:rsidRPr="00010A67" w:rsidRDefault="00010A67" w:rsidP="00010A67">
      <w:pPr>
        <w:pStyle w:val="a5"/>
        <w:numPr>
          <w:ilvl w:val="1"/>
          <w:numId w:val="1"/>
        </w:numPr>
        <w:spacing w:before="6"/>
        <w:rPr>
          <w:sz w:val="28"/>
          <w:szCs w:val="28"/>
        </w:rPr>
      </w:pPr>
      <w:r w:rsidRPr="00010A67">
        <w:rPr>
          <w:sz w:val="28"/>
          <w:szCs w:val="28"/>
        </w:rPr>
        <w:t>Informarea anuală, a Consiliului de Sănătatea Publică Raionul Hîncești, despre executarea acțiunilor prevăzute de Programul dat.</w:t>
      </w:r>
    </w:p>
    <w:p w:rsidR="00010A67" w:rsidRPr="00010A67" w:rsidRDefault="00010A67" w:rsidP="00010A67">
      <w:pPr>
        <w:pStyle w:val="a5"/>
        <w:numPr>
          <w:ilvl w:val="0"/>
          <w:numId w:val="1"/>
        </w:numPr>
        <w:spacing w:before="6"/>
        <w:rPr>
          <w:sz w:val="28"/>
          <w:szCs w:val="28"/>
        </w:rPr>
      </w:pPr>
      <w:r w:rsidRPr="00010A67">
        <w:rPr>
          <w:sz w:val="28"/>
          <w:szCs w:val="28"/>
        </w:rPr>
        <w:t xml:space="preserve">APL de nivel întîi, </w:t>
      </w:r>
      <w:r w:rsidR="00AA1126">
        <w:rPr>
          <w:sz w:val="28"/>
          <w:szCs w:val="28"/>
        </w:rPr>
        <w:t>Stuctura Teritorială de</w:t>
      </w:r>
      <w:r w:rsidRPr="00010A67">
        <w:rPr>
          <w:sz w:val="28"/>
          <w:szCs w:val="28"/>
        </w:rPr>
        <w:t xml:space="preserve"> Asistența </w:t>
      </w:r>
      <w:r w:rsidR="00AA1126">
        <w:rPr>
          <w:sz w:val="28"/>
          <w:szCs w:val="28"/>
        </w:rPr>
        <w:t xml:space="preserve">Socială Hîncești </w:t>
      </w:r>
      <w:r w:rsidR="008F758D">
        <w:rPr>
          <w:sz w:val="28"/>
          <w:szCs w:val="28"/>
        </w:rPr>
        <w:t>împreună</w:t>
      </w:r>
      <w:r w:rsidRPr="00010A67">
        <w:rPr>
          <w:sz w:val="28"/>
          <w:szCs w:val="28"/>
        </w:rPr>
        <w:t xml:space="preserve"> cu C</w:t>
      </w:r>
      <w:r w:rsidR="00AA1126">
        <w:rPr>
          <w:sz w:val="28"/>
          <w:szCs w:val="28"/>
        </w:rPr>
        <w:t>ent</w:t>
      </w:r>
      <w:r w:rsidR="008F758D">
        <w:rPr>
          <w:sz w:val="28"/>
          <w:szCs w:val="28"/>
        </w:rPr>
        <w:t>r</w:t>
      </w:r>
      <w:r w:rsidR="00AA1126">
        <w:rPr>
          <w:sz w:val="28"/>
          <w:szCs w:val="28"/>
        </w:rPr>
        <w:t xml:space="preserve">ul de </w:t>
      </w:r>
      <w:r w:rsidRPr="00010A67">
        <w:rPr>
          <w:sz w:val="28"/>
          <w:szCs w:val="28"/>
        </w:rPr>
        <w:t>S</w:t>
      </w:r>
      <w:r w:rsidR="00AA1126">
        <w:rPr>
          <w:sz w:val="28"/>
          <w:szCs w:val="28"/>
        </w:rPr>
        <w:t xml:space="preserve">ănătate </w:t>
      </w:r>
      <w:r w:rsidRPr="00010A67">
        <w:rPr>
          <w:sz w:val="28"/>
          <w:szCs w:val="28"/>
        </w:rPr>
        <w:t>P</w:t>
      </w:r>
      <w:r w:rsidR="00AA1126">
        <w:rPr>
          <w:sz w:val="28"/>
          <w:szCs w:val="28"/>
        </w:rPr>
        <w:t>ublică</w:t>
      </w:r>
      <w:r w:rsidRPr="00010A67">
        <w:rPr>
          <w:sz w:val="28"/>
          <w:szCs w:val="28"/>
        </w:rPr>
        <w:t xml:space="preserve"> Hîncești și IMSP C</w:t>
      </w:r>
      <w:r w:rsidR="00AA1126">
        <w:rPr>
          <w:sz w:val="28"/>
          <w:szCs w:val="28"/>
        </w:rPr>
        <w:t xml:space="preserve">entrul de </w:t>
      </w:r>
      <w:r w:rsidRPr="00010A67">
        <w:rPr>
          <w:sz w:val="28"/>
          <w:szCs w:val="28"/>
        </w:rPr>
        <w:t>S</w:t>
      </w:r>
      <w:r w:rsidR="00AA1126">
        <w:rPr>
          <w:sz w:val="28"/>
          <w:szCs w:val="28"/>
        </w:rPr>
        <w:t xml:space="preserve">ănătate </w:t>
      </w:r>
      <w:r w:rsidRPr="00010A67">
        <w:rPr>
          <w:sz w:val="28"/>
          <w:szCs w:val="28"/>
        </w:rPr>
        <w:t xml:space="preserve">Hîncești va </w:t>
      </w:r>
      <w:r w:rsidR="008F758D">
        <w:rPr>
          <w:sz w:val="28"/>
          <w:szCs w:val="28"/>
        </w:rPr>
        <w:t>crea o platformă</w:t>
      </w:r>
      <w:r w:rsidR="00AA1126">
        <w:rPr>
          <w:sz w:val="28"/>
          <w:szCs w:val="28"/>
        </w:rPr>
        <w:t xml:space="preserve"> intersectorială</w:t>
      </w:r>
      <w:r w:rsidRPr="00010A67">
        <w:rPr>
          <w:sz w:val="28"/>
          <w:szCs w:val="28"/>
        </w:rPr>
        <w:t xml:space="preserve"> de promotori sociali ai vaccinării, inclusiv prin consolidarea parteneriatelor cu sectorul educației, cu partenerii sociali, cu implicarea comunităților și liderilor de opinie, în conformitatea cu legislația în vigoare.</w:t>
      </w:r>
    </w:p>
    <w:p w:rsidR="00010A67" w:rsidRPr="00010A67" w:rsidRDefault="00010A67" w:rsidP="00010A67">
      <w:pPr>
        <w:pStyle w:val="a5"/>
        <w:numPr>
          <w:ilvl w:val="0"/>
          <w:numId w:val="1"/>
        </w:numPr>
        <w:spacing w:before="6"/>
        <w:rPr>
          <w:sz w:val="28"/>
          <w:szCs w:val="28"/>
        </w:rPr>
      </w:pPr>
      <w:r w:rsidRPr="00010A67">
        <w:rPr>
          <w:sz w:val="28"/>
          <w:szCs w:val="28"/>
        </w:rPr>
        <w:t>Direcția Învățămînt Hîncești va include subiectul conștientizării și promovării importanței imunizărilor în curricula școlar.</w:t>
      </w:r>
    </w:p>
    <w:p w:rsidR="00010A67" w:rsidRDefault="00010A67" w:rsidP="00010A67">
      <w:pPr>
        <w:pStyle w:val="a5"/>
        <w:numPr>
          <w:ilvl w:val="0"/>
          <w:numId w:val="1"/>
        </w:numPr>
        <w:spacing w:before="6"/>
        <w:rPr>
          <w:sz w:val="28"/>
          <w:szCs w:val="28"/>
        </w:rPr>
      </w:pPr>
      <w:r w:rsidRPr="00010A67">
        <w:rPr>
          <w:sz w:val="28"/>
          <w:szCs w:val="28"/>
        </w:rPr>
        <w:t>Mass-media locală va reflecta pe larg import</w:t>
      </w:r>
      <w:r w:rsidR="00AA1126">
        <w:rPr>
          <w:sz w:val="28"/>
          <w:szCs w:val="28"/>
        </w:rPr>
        <w:t>an</w:t>
      </w:r>
      <w:r w:rsidRPr="00010A67">
        <w:rPr>
          <w:sz w:val="28"/>
          <w:szCs w:val="28"/>
        </w:rPr>
        <w:t>ța vaccinării.</w:t>
      </w:r>
    </w:p>
    <w:p w:rsidR="00010A67" w:rsidRPr="00010A67" w:rsidRDefault="00A72022" w:rsidP="00010A67">
      <w:pPr>
        <w:pStyle w:val="a5"/>
        <w:numPr>
          <w:ilvl w:val="0"/>
          <w:numId w:val="1"/>
        </w:numPr>
        <w:spacing w:before="6"/>
        <w:rPr>
          <w:sz w:val="28"/>
          <w:szCs w:val="28"/>
        </w:rPr>
      </w:pPr>
      <w:r w:rsidRPr="00010A67">
        <w:rPr>
          <w:color w:val="000000"/>
          <w:sz w:val="28"/>
          <w:szCs w:val="28"/>
        </w:rPr>
        <w:t>Controlul îndeplinirii pr</w:t>
      </w:r>
      <w:r w:rsidR="00010A67">
        <w:rPr>
          <w:color w:val="000000"/>
          <w:sz w:val="28"/>
          <w:szCs w:val="28"/>
        </w:rPr>
        <w:t>ezentei decizii se atribuie</w:t>
      </w:r>
      <w:r w:rsidRPr="00010A67">
        <w:rPr>
          <w:color w:val="000000"/>
          <w:sz w:val="28"/>
          <w:szCs w:val="28"/>
        </w:rPr>
        <w:t xml:space="preserve"> președ</w:t>
      </w:r>
      <w:r w:rsidR="00010A67">
        <w:rPr>
          <w:color w:val="000000"/>
          <w:sz w:val="28"/>
          <w:szCs w:val="28"/>
        </w:rPr>
        <w:t>intelui raionului Hîncești, dl</w:t>
      </w:r>
      <w:r w:rsidRPr="00010A67">
        <w:rPr>
          <w:color w:val="000000"/>
          <w:sz w:val="28"/>
          <w:szCs w:val="28"/>
        </w:rPr>
        <w:t xml:space="preserve"> Iurie LEVINSCHI.</w:t>
      </w:r>
    </w:p>
    <w:p w:rsidR="00A72022" w:rsidRPr="00010A67" w:rsidRDefault="00A72022" w:rsidP="00010A67">
      <w:pPr>
        <w:pStyle w:val="a5"/>
        <w:numPr>
          <w:ilvl w:val="0"/>
          <w:numId w:val="1"/>
        </w:numPr>
        <w:spacing w:before="6"/>
        <w:rPr>
          <w:sz w:val="28"/>
          <w:szCs w:val="28"/>
        </w:rPr>
      </w:pPr>
      <w:r w:rsidRPr="00010A67">
        <w:rPr>
          <w:color w:val="000000"/>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A72022" w:rsidRPr="00A72022" w:rsidRDefault="00A72022" w:rsidP="00010A67">
      <w:pPr>
        <w:jc w:val="both"/>
        <w:rPr>
          <w:rFonts w:ascii="Times New Roman" w:hAnsi="Times New Roman"/>
          <w:b/>
          <w:sz w:val="28"/>
          <w:szCs w:val="28"/>
          <w:lang w:val="it-IT"/>
        </w:rPr>
      </w:pPr>
    </w:p>
    <w:p w:rsidR="00A72022" w:rsidRPr="00A72022" w:rsidRDefault="00010A67" w:rsidP="00D511BC">
      <w:pPr>
        <w:rPr>
          <w:rFonts w:ascii="Times New Roman" w:hAnsi="Times New Roman"/>
          <w:b/>
          <w:sz w:val="28"/>
          <w:szCs w:val="28"/>
          <w:lang w:val="pt-BR"/>
        </w:rPr>
      </w:pPr>
      <w:r>
        <w:rPr>
          <w:rFonts w:ascii="Times New Roman" w:hAnsi="Times New Roman"/>
          <w:b/>
          <w:sz w:val="28"/>
          <w:szCs w:val="28"/>
          <w:lang w:val="it-IT"/>
        </w:rPr>
        <w:t xml:space="preserve">    </w:t>
      </w:r>
      <w:r w:rsidR="00A72022" w:rsidRPr="00A72022">
        <w:rPr>
          <w:rFonts w:ascii="Times New Roman" w:hAnsi="Times New Roman"/>
          <w:b/>
          <w:sz w:val="28"/>
          <w:szCs w:val="28"/>
          <w:lang w:val="it-IT"/>
        </w:rPr>
        <w:t xml:space="preserve"> Preşedintele şedinţei:                                                     </w:t>
      </w:r>
      <w:r w:rsidR="00A72022" w:rsidRPr="00A72022">
        <w:rPr>
          <w:rFonts w:ascii="Times New Roman" w:hAnsi="Times New Roman"/>
          <w:b/>
          <w:sz w:val="28"/>
          <w:szCs w:val="28"/>
          <w:lang w:val="pt-BR"/>
        </w:rPr>
        <w:t>__________________</w:t>
      </w:r>
      <w:r w:rsidR="00A72022" w:rsidRPr="00A72022">
        <w:rPr>
          <w:rFonts w:ascii="Times New Roman" w:hAnsi="Times New Roman"/>
          <w:sz w:val="28"/>
          <w:szCs w:val="28"/>
          <w:lang w:val="it-IT"/>
        </w:rPr>
        <w:t xml:space="preserve">                    </w:t>
      </w:r>
    </w:p>
    <w:p w:rsidR="00A72022" w:rsidRDefault="00A72022" w:rsidP="00D511BC">
      <w:pPr>
        <w:ind w:left="360"/>
        <w:rPr>
          <w:rFonts w:ascii="Times New Roman" w:hAnsi="Times New Roman"/>
          <w:sz w:val="28"/>
          <w:szCs w:val="28"/>
          <w:lang w:val="it-IT"/>
        </w:rPr>
      </w:pPr>
      <w:r w:rsidRPr="00A72022">
        <w:rPr>
          <w:rFonts w:ascii="Times New Roman" w:hAnsi="Times New Roman"/>
          <w:sz w:val="28"/>
          <w:szCs w:val="28"/>
          <w:lang w:val="it-IT"/>
        </w:rPr>
        <w:t xml:space="preserve">    </w:t>
      </w:r>
    </w:p>
    <w:p w:rsidR="00A72022" w:rsidRPr="00A72022" w:rsidRDefault="00010A67" w:rsidP="00A72022">
      <w:pPr>
        <w:ind w:left="360"/>
        <w:jc w:val="left"/>
        <w:rPr>
          <w:rFonts w:ascii="Times New Roman" w:hAnsi="Times New Roman"/>
          <w:sz w:val="28"/>
          <w:szCs w:val="28"/>
          <w:lang w:val="it-IT"/>
        </w:rPr>
      </w:pPr>
      <w:r>
        <w:rPr>
          <w:rFonts w:ascii="Times New Roman" w:hAnsi="Times New Roman"/>
          <w:sz w:val="28"/>
          <w:szCs w:val="28"/>
          <w:lang w:val="it-IT"/>
        </w:rPr>
        <w:t xml:space="preserve">    </w:t>
      </w:r>
      <w:r w:rsidR="00A72022" w:rsidRPr="00A72022">
        <w:rPr>
          <w:rFonts w:ascii="Times New Roman" w:hAnsi="Times New Roman"/>
          <w:sz w:val="28"/>
          <w:szCs w:val="28"/>
          <w:u w:val="single"/>
          <w:lang w:val="it-IT"/>
        </w:rPr>
        <w:t>Contrasemnează</w:t>
      </w:r>
      <w:r w:rsidR="00A72022" w:rsidRPr="00A72022">
        <w:rPr>
          <w:rFonts w:ascii="Times New Roman" w:hAnsi="Times New Roman"/>
          <w:sz w:val="28"/>
          <w:szCs w:val="28"/>
          <w:lang w:val="it-IT"/>
        </w:rPr>
        <w:t>:</w:t>
      </w:r>
    </w:p>
    <w:p w:rsidR="00010A67" w:rsidRDefault="00010A67" w:rsidP="00010A67">
      <w:pPr>
        <w:jc w:val="left"/>
        <w:rPr>
          <w:rFonts w:ascii="Times New Roman" w:hAnsi="Times New Roman"/>
          <w:b/>
          <w:sz w:val="28"/>
          <w:szCs w:val="28"/>
          <w:lang w:val="it-IT"/>
        </w:rPr>
      </w:pPr>
      <w:r>
        <w:rPr>
          <w:rFonts w:ascii="Times New Roman" w:hAnsi="Times New Roman"/>
          <w:b/>
          <w:sz w:val="28"/>
          <w:szCs w:val="28"/>
          <w:lang w:val="it-IT"/>
        </w:rPr>
        <w:t xml:space="preserve">           </w:t>
      </w:r>
      <w:r w:rsidR="00A72022" w:rsidRPr="00A72022">
        <w:rPr>
          <w:rFonts w:ascii="Times New Roman" w:hAnsi="Times New Roman"/>
          <w:b/>
          <w:sz w:val="28"/>
          <w:szCs w:val="28"/>
          <w:lang w:val="it-IT"/>
        </w:rPr>
        <w:t xml:space="preserve"> Secretarul</w:t>
      </w:r>
    </w:p>
    <w:p w:rsidR="00A72022" w:rsidRPr="00A72022" w:rsidRDefault="00A72022" w:rsidP="00010A67">
      <w:pPr>
        <w:jc w:val="left"/>
        <w:rPr>
          <w:rFonts w:ascii="Times New Roman" w:hAnsi="Times New Roman"/>
          <w:b/>
          <w:sz w:val="28"/>
          <w:szCs w:val="28"/>
          <w:lang w:val="it-IT"/>
        </w:rPr>
      </w:pPr>
      <w:r w:rsidRPr="00A72022">
        <w:rPr>
          <w:rFonts w:ascii="Times New Roman" w:hAnsi="Times New Roman"/>
          <w:b/>
          <w:sz w:val="28"/>
          <w:szCs w:val="28"/>
          <w:lang w:val="it-IT"/>
        </w:rPr>
        <w:t xml:space="preserve">  Consiliului Raional Hînceşti   </w:t>
      </w:r>
      <w:r w:rsidR="00010A67">
        <w:rPr>
          <w:rFonts w:ascii="Times New Roman" w:hAnsi="Times New Roman"/>
          <w:sz w:val="28"/>
          <w:szCs w:val="28"/>
          <w:lang w:val="it-IT"/>
        </w:rPr>
        <w:t xml:space="preserve">                            </w:t>
      </w:r>
      <w:r w:rsidRPr="00A72022">
        <w:rPr>
          <w:rFonts w:ascii="Times New Roman" w:hAnsi="Times New Roman"/>
          <w:sz w:val="28"/>
          <w:szCs w:val="28"/>
          <w:lang w:val="it-IT"/>
        </w:rPr>
        <w:t xml:space="preserve">     </w:t>
      </w:r>
      <w:r w:rsidRPr="00A72022">
        <w:rPr>
          <w:rFonts w:ascii="Times New Roman" w:hAnsi="Times New Roman"/>
          <w:b/>
          <w:sz w:val="28"/>
          <w:szCs w:val="28"/>
          <w:lang w:val="it-IT"/>
        </w:rPr>
        <w:t>Elena MORARU TOMA</w:t>
      </w:r>
    </w:p>
    <w:p w:rsidR="00A72022" w:rsidRPr="00A72022" w:rsidRDefault="00A72022" w:rsidP="00010A67">
      <w:pPr>
        <w:spacing w:line="360" w:lineRule="auto"/>
        <w:jc w:val="both"/>
        <w:rPr>
          <w:rFonts w:ascii="Times New Roman" w:hAnsi="Times New Roman"/>
          <w:sz w:val="28"/>
          <w:szCs w:val="28"/>
          <w:lang w:val="pt-BR"/>
        </w:rPr>
      </w:pP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Inițiat : ___________________ Iurie LEVINSCHI, Președintele raionului,</w:t>
      </w:r>
    </w:p>
    <w:p w:rsidR="00A72022" w:rsidRDefault="00A72022" w:rsidP="00A72022">
      <w:pPr>
        <w:spacing w:line="360" w:lineRule="auto"/>
        <w:jc w:val="both"/>
        <w:rPr>
          <w:rFonts w:ascii="Times New Roman" w:hAnsi="Times New Roman"/>
          <w:lang w:val="pt-BR"/>
        </w:rPr>
      </w:pPr>
      <w:r w:rsidRPr="00A72022">
        <w:rPr>
          <w:rFonts w:ascii="Times New Roman" w:hAnsi="Times New Roman"/>
          <w:lang w:val="pt-BR"/>
        </w:rPr>
        <w:t>Coordonat: ________________Aliona GRIGORAȘ, vicepreședintele raionului,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 xml:space="preserve">Elaborat : _________________ Oleg CEBOTARI, </w:t>
      </w:r>
      <w:r w:rsidRPr="00A72022">
        <w:rPr>
          <w:rFonts w:ascii="Times New Roman" w:hAnsi="Times New Roman"/>
          <w:bCs/>
          <w:color w:val="000000"/>
          <w:lang w:val="ro-RO"/>
        </w:rPr>
        <w:t>Șef Direcție „Centrul de Sănătate Publică Hîncești”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Avizat: __________________ Sergiu PASCAL, specialist principal (jurist)</w:t>
      </w:r>
    </w:p>
    <w:p w:rsidR="00A72022" w:rsidRPr="00A72022" w:rsidRDefault="00A72022" w:rsidP="00D511BC">
      <w:pPr>
        <w:ind w:left="360"/>
        <w:rPr>
          <w:rFonts w:ascii="Times New Roman" w:hAnsi="Times New Roman"/>
          <w:lang w:val="it-IT"/>
        </w:rPr>
      </w:pPr>
    </w:p>
    <w:p w:rsidR="00A72022" w:rsidRPr="00A72022" w:rsidRDefault="00A72022" w:rsidP="00D511BC">
      <w:pPr>
        <w:ind w:left="142"/>
        <w:rPr>
          <w:rFonts w:ascii="Times New Roman" w:hAnsi="Times New Roman"/>
          <w:b/>
          <w:lang w:val="pt-BR"/>
        </w:rPr>
      </w:pPr>
    </w:p>
    <w:p w:rsidR="00A72022" w:rsidRPr="00E52EA9" w:rsidRDefault="00E52EA9" w:rsidP="00E52EA9">
      <w:pPr>
        <w:jc w:val="both"/>
        <w:rPr>
          <w:rFonts w:ascii="Times New Roman" w:hAnsi="Times New Roman"/>
          <w:lang w:val="pt-BR"/>
        </w:rPr>
      </w:pPr>
      <w:r w:rsidRPr="00E52EA9">
        <w:rPr>
          <w:rFonts w:ascii="Times New Roman" w:hAnsi="Times New Roman"/>
          <w:lang w:val="pt-BR"/>
        </w:rPr>
        <w:t>Avizat: _________________Elena MORARU TOMA</w:t>
      </w:r>
      <w:r w:rsidR="00756667">
        <w:rPr>
          <w:rFonts w:ascii="Times New Roman" w:hAnsi="Times New Roman"/>
          <w:lang w:val="pt-BR"/>
        </w:rPr>
        <w:t xml:space="preserve">, Secretarul Consiliului raional </w:t>
      </w:r>
    </w:p>
    <w:tbl>
      <w:tblPr>
        <w:tblpPr w:leftFromText="180" w:rightFromText="180" w:horzAnchor="margin" w:tblpXSpec="right" w:tblpY="-14685"/>
        <w:tblW w:w="9324" w:type="dxa"/>
        <w:tblCellSpacing w:w="15" w:type="dxa"/>
        <w:tblCellMar>
          <w:top w:w="15" w:type="dxa"/>
          <w:left w:w="15" w:type="dxa"/>
          <w:bottom w:w="15" w:type="dxa"/>
          <w:right w:w="15" w:type="dxa"/>
        </w:tblCellMar>
        <w:tblLook w:val="04A0" w:firstRow="1" w:lastRow="0" w:firstColumn="1" w:lastColumn="0" w:noHBand="0" w:noVBand="1"/>
      </w:tblPr>
      <w:tblGrid>
        <w:gridCol w:w="9153"/>
        <w:gridCol w:w="171"/>
      </w:tblGrid>
      <w:tr w:rsidR="007314B3"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7314B3" w:rsidRPr="00A72022" w:rsidRDefault="007314B3">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7314B3" w:rsidRPr="00A72022" w:rsidRDefault="007314B3">
            <w:pPr>
              <w:ind w:left="426" w:firstLine="708"/>
              <w:jc w:val="left"/>
              <w:rPr>
                <w:rFonts w:ascii="Times New Roman" w:eastAsia="Times New Roman" w:hAnsi="Times New Roman"/>
                <w:b/>
                <w:bCs/>
                <w:i/>
                <w:color w:val="000000" w:themeColor="text1"/>
                <w:lang w:val="ro-RO" w:eastAsia="ru-RU"/>
              </w:rPr>
            </w:pPr>
          </w:p>
        </w:tc>
      </w:tr>
      <w:tr w:rsidR="00A72022"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A72022" w:rsidRPr="00A72022" w:rsidRDefault="00A72022">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A72022" w:rsidRPr="00A72022" w:rsidRDefault="00A72022">
            <w:pPr>
              <w:ind w:left="426" w:firstLine="708"/>
              <w:jc w:val="left"/>
              <w:rPr>
                <w:rFonts w:ascii="Times New Roman" w:eastAsia="Times New Roman" w:hAnsi="Times New Roman"/>
                <w:b/>
                <w:bCs/>
                <w:i/>
                <w:color w:val="000000" w:themeColor="text1"/>
                <w:lang w:val="ro-RO" w:eastAsia="ru-RU"/>
              </w:rPr>
            </w:pPr>
          </w:p>
        </w:tc>
      </w:tr>
    </w:tbl>
    <w:p w:rsidR="00522030" w:rsidRDefault="00522030" w:rsidP="00010A67">
      <w:pPr>
        <w:pStyle w:val="1"/>
        <w:jc w:val="right"/>
        <w:rPr>
          <w:rFonts w:ascii="Times New Roman" w:hAnsi="Times New Roman"/>
          <w:color w:val="000000" w:themeColor="text1"/>
          <w:lang w:val="ro-RO"/>
        </w:rPr>
      </w:pPr>
    </w:p>
    <w:p w:rsidR="007314B3" w:rsidRPr="00A72022" w:rsidRDefault="00877B0F" w:rsidP="00010A67">
      <w:pPr>
        <w:pStyle w:val="1"/>
        <w:jc w:val="right"/>
        <w:rPr>
          <w:rFonts w:ascii="Times New Roman" w:hAnsi="Times New Roman"/>
          <w:color w:val="000000" w:themeColor="text1"/>
          <w:lang w:val="ro-RO"/>
        </w:rPr>
      </w:pPr>
      <w:r w:rsidRPr="00A72022">
        <w:rPr>
          <w:rFonts w:ascii="Times New Roman" w:hAnsi="Times New Roman"/>
          <w:color w:val="000000" w:themeColor="text1"/>
          <w:lang w:val="ro-RO"/>
        </w:rPr>
        <w:t>Anexa nr. 1</w:t>
      </w:r>
    </w:p>
    <w:p w:rsidR="007314B3" w:rsidRPr="00A72022" w:rsidRDefault="00877B0F" w:rsidP="00010A67">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la Decizia Consiliului Raional Hîncești</w:t>
      </w:r>
    </w:p>
    <w:p w:rsidR="00A72022" w:rsidRPr="00A72022" w:rsidRDefault="00A72022" w:rsidP="00010A67">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nr.03/________din 06.2024</w:t>
      </w:r>
    </w:p>
    <w:p w:rsidR="007314B3" w:rsidRPr="00A72022" w:rsidRDefault="00877B0F" w:rsidP="00010A67">
      <w:pPr>
        <w:ind w:left="426" w:firstLine="708"/>
        <w:jc w:val="right"/>
        <w:rPr>
          <w:rFonts w:ascii="Times New Roman" w:eastAsia="Times New Roman" w:hAnsi="Times New Roman"/>
          <w:b/>
          <w:bCs/>
          <w:color w:val="000000" w:themeColor="text1"/>
          <w:sz w:val="28"/>
          <w:szCs w:val="28"/>
          <w:lang w:val="ro-RO" w:eastAsia="ru-RU"/>
        </w:rPr>
      </w:pPr>
      <w:r w:rsidRPr="00A72022">
        <w:rPr>
          <w:rFonts w:ascii="Times New Roman" w:hAnsi="Times New Roman"/>
          <w:b/>
          <w:color w:val="000000" w:themeColor="text1"/>
          <w:sz w:val="28"/>
          <w:szCs w:val="28"/>
          <w:lang w:val="ro-RO"/>
        </w:rPr>
        <w:t xml:space="preserve">       </w:t>
      </w:r>
      <w:r w:rsidRPr="00A72022">
        <w:rPr>
          <w:rFonts w:ascii="Times New Roman" w:hAnsi="Times New Roman"/>
          <w:b/>
          <w:color w:val="000000" w:themeColor="text1"/>
          <w:sz w:val="28"/>
          <w:szCs w:val="28"/>
          <w:u w:val="single"/>
          <w:lang w:val="ro-RO"/>
        </w:rPr>
        <w:t xml:space="preserve">  </w:t>
      </w:r>
    </w:p>
    <w:p w:rsidR="007314B3" w:rsidRPr="00A72022" w:rsidRDefault="007314B3" w:rsidP="00E52EA9">
      <w:pPr>
        <w:spacing w:after="200" w:line="276" w:lineRule="auto"/>
        <w:ind w:hanging="360"/>
        <w:jc w:val="right"/>
        <w:rPr>
          <w:rFonts w:ascii="Times New Roman" w:eastAsia="SimSun" w:hAnsi="Times New Roman"/>
          <w:b/>
          <w:color w:val="000000" w:themeColor="text1"/>
          <w:sz w:val="28"/>
          <w:szCs w:val="28"/>
          <w:lang w:val="ro-RO" w:eastAsia="ru-RU"/>
        </w:rPr>
      </w:pPr>
    </w:p>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Programul teritorial de imunizări pentru anii 2024-2027 în raionul Hîncești</w:t>
      </w:r>
    </w:p>
    <w:p w:rsidR="00010A67" w:rsidRPr="00010A67" w:rsidRDefault="00010A67" w:rsidP="00010A67">
      <w:pPr>
        <w:tabs>
          <w:tab w:val="left" w:pos="3261"/>
          <w:tab w:val="left" w:pos="4962"/>
        </w:tabs>
        <w:rPr>
          <w:rFonts w:ascii="Times New Roman" w:hAnsi="Times New Roman"/>
          <w:b/>
          <w:sz w:val="24"/>
          <w:szCs w:val="24"/>
        </w:rPr>
      </w:pPr>
    </w:p>
    <w:p w:rsidR="00010A67" w:rsidRPr="00010A67" w:rsidRDefault="00010A67" w:rsidP="00010A67">
      <w:pPr>
        <w:tabs>
          <w:tab w:val="left" w:pos="3261"/>
          <w:tab w:val="left" w:pos="4962"/>
        </w:tabs>
        <w:rPr>
          <w:rFonts w:ascii="Times New Roman" w:hAnsi="Times New Roman"/>
          <w:b/>
          <w:sz w:val="24"/>
          <w:szCs w:val="24"/>
        </w:rPr>
      </w:pPr>
      <w:r w:rsidRPr="00010A67">
        <w:rPr>
          <w:rFonts w:ascii="Times New Roman" w:hAnsi="Times New Roman"/>
          <w:b/>
          <w:sz w:val="24"/>
          <w:szCs w:val="24"/>
        </w:rPr>
        <w:t>I. INTRODUCERE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Imunizarea reprezintă cea mai sigură și cost-eficientă intervenție în domeniul sănătății publice, contribuind la stabilirea echității sociale și consolidarea socio-economică a familiei și a societății. Prin imunizări sunt diminuate prejudiciile de ordin medical, social și economic, cauzate de bolile prevenibile prin vaccinări, printre care suferința cauzată de boală, dizabilitatea și decesul. Vaccinarea a adus beneficii medicale și socioeconomice imense persoanelor și societății, iar rata scăzută a bolilor ce pot fi prevenite prin imunizare pe fondul unei acoperiri vaccinale înalte este o dovadă a eficacității programelor și politicilor naționale de imunizare.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Programul teritorial de imunizări pentru anii 2024-2027 (în continuare – </w:t>
      </w:r>
      <w:r w:rsidRPr="00010A67">
        <w:rPr>
          <w:rFonts w:ascii="Times New Roman" w:hAnsi="Times New Roman"/>
          <w:i/>
          <w:sz w:val="24"/>
          <w:szCs w:val="24"/>
        </w:rPr>
        <w:t>Program</w:t>
      </w:r>
      <w:r w:rsidRPr="00010A67">
        <w:rPr>
          <w:rFonts w:ascii="Times New Roman" w:hAnsi="Times New Roman"/>
          <w:sz w:val="24"/>
          <w:szCs w:val="24"/>
        </w:rPr>
        <w:t>) reprezintă un document de politici pe termen mediu în domeniul imunizărilor și cuprinde prioritățile Guvernului în asigurarea procesului de vaccinare contra maladii</w:t>
      </w:r>
      <w:sdt>
        <w:sdtPr>
          <w:rPr>
            <w:rFonts w:ascii="Times New Roman" w:hAnsi="Times New Roman"/>
            <w:sz w:val="24"/>
            <w:szCs w:val="24"/>
          </w:rPr>
          <w:tag w:val="goog_rdk_23"/>
          <w:id w:val="2101515920"/>
        </w:sdtPr>
        <w:sdtEndPr/>
        <w:sdtContent>
          <w:r w:rsidRPr="00010A67">
            <w:rPr>
              <w:rFonts w:ascii="Times New Roman" w:hAnsi="Times New Roman"/>
              <w:sz w:val="24"/>
              <w:szCs w:val="24"/>
            </w:rPr>
            <w:t>lor</w:t>
          </w:r>
        </w:sdtContent>
      </w:sdt>
      <w:r w:rsidRPr="00010A67">
        <w:rPr>
          <w:rFonts w:ascii="Times New Roman" w:hAnsi="Times New Roman"/>
          <w:sz w:val="24"/>
          <w:szCs w:val="24"/>
        </w:rPr>
        <w:t xml:space="preserve"> care pot fi prevenite prin vaccinare, în vederea diminuării poverii financiare și sociale determinate de acestea. Programul și Planul de acțiuni pentru anii 2024-2027 de implementare a acestuia au fost elaborate în conformitate cu prevederile Programului de activitate al Guvernului pentru anii 2023-2025 „Moldova prosperă, sigură, europeană”, care stabilește viziunea, prioritățile și obiectivele pentru dezvoltarea sistemului național de sănătate, inclusiv asigurarea controlului maladiilor transmisibile cu impact major asupra sănătății publice.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Prezentul Program este elaborat în temeiul Legii ocrotirii sănătății nr. 411/1995, Legii nr. 10/2009 privind supravegherea de stat a sănătății publice, Legii nr. 263/2005 cu privire la drepturile și responsabilitățile pacientului, și transpune prioritățile statului în domeniul de prevenire și control al bolilor transmisibile stabilite în Strategia națională de dezvoltare ,,Moldova Europeană 2030”, aprobată prin Legea nr. 315/2022. La baza elaborării Programului au stat componentele prevăzute în strategiile Organizației Mondiale a Sănătății (OMS): Agenda Globală de Imunizare 2030, aprobată de Asambleea Mondială a Sănătății (AMS) documentul A73/7</w:t>
      </w:r>
      <w:sdt>
        <w:sdtPr>
          <w:rPr>
            <w:rFonts w:ascii="Times New Roman" w:hAnsi="Times New Roman"/>
            <w:sz w:val="24"/>
            <w:szCs w:val="24"/>
          </w:rPr>
          <w:tag w:val="goog_rdk_29"/>
          <w:id w:val="-757134382"/>
        </w:sdtPr>
        <w:sdtEndPr/>
        <w:sdtContent>
          <w:r w:rsidRPr="00010A67">
            <w:rPr>
              <w:rFonts w:ascii="Times New Roman" w:hAnsi="Times New Roman"/>
              <w:sz w:val="24"/>
              <w:szCs w:val="24"/>
            </w:rPr>
            <w:t>/</w:t>
          </w:r>
        </w:sdtContent>
      </w:sdt>
      <w:r w:rsidRPr="00010A67">
        <w:rPr>
          <w:rFonts w:ascii="Times New Roman" w:hAnsi="Times New Roman"/>
          <w:sz w:val="24"/>
          <w:szCs w:val="24"/>
        </w:rPr>
        <w:t>2020, Strategia etapei finale de lichidare a poliomielitei, AMS documentul A72/9</w:t>
      </w:r>
      <w:sdt>
        <w:sdtPr>
          <w:rPr>
            <w:rFonts w:ascii="Times New Roman" w:hAnsi="Times New Roman"/>
            <w:sz w:val="24"/>
            <w:szCs w:val="24"/>
          </w:rPr>
          <w:tag w:val="goog_rdk_31"/>
          <w:id w:val="1084486455"/>
        </w:sdtPr>
        <w:sdtEndPr/>
        <w:sdtContent>
          <w:r w:rsidRPr="00010A67">
            <w:rPr>
              <w:rFonts w:ascii="Times New Roman" w:hAnsi="Times New Roman"/>
              <w:sz w:val="24"/>
              <w:szCs w:val="24"/>
            </w:rPr>
            <w:t>/</w:t>
          </w:r>
        </w:sdtContent>
      </w:sdt>
      <w:r w:rsidRPr="00010A67">
        <w:rPr>
          <w:rFonts w:ascii="Times New Roman" w:hAnsi="Times New Roman"/>
          <w:sz w:val="24"/>
          <w:szCs w:val="24"/>
        </w:rPr>
        <w:t>2019, rezoluția EUR/RC60/R12 privind eliminarea rujeolei și rubeolei indigene din regiunea Europeană OMS.</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Programul va contribui la atingerea obiectivelor globale de dezvoltare durabilă (ODD), în special prin acțiune directă la ODD 3 – „Asigurarea unei vieți sănătoase și promovarea bunăstării tuturor la orice vârstă”. Conform Agendei globale de imunizare 2030, Programul contribuie direct sau indirect la alte 13 ODD-uri bazându-se pe principiul de a nu lăsa pe nimeni în urmă și de a asigura protecția și respectarea drepturilor omului. </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Programului se bazează pe realizările Programului național de imunizări pentru anii 2016-2020, precum și în baza următoarelor studii și rapoarte:</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și evaluarea Programului național de imunizări pentru anii 2016-2020 prin intermediul vizitelor de supervizare și suport instituțiilor medico-sanitare, 2019;</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fenomenului de ezitare la vaccinare în Republica Moldova, 2020;</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Performanța sistemului de supraveghere a maladiilor prevenibile prin vaccinare </w:t>
      </w:r>
      <w:r w:rsidRPr="00010A67">
        <w:rPr>
          <w:rFonts w:ascii="Times New Roman" w:hAnsi="Times New Roman"/>
          <w:sz w:val="24"/>
          <w:szCs w:val="24"/>
        </w:rPr>
        <w:lastRenderedPageBreak/>
        <w:t xml:space="preserve">efectuată în anul 2019; </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cost-finanțării și impactul reformei Serviciului de Supraveghere de Stat a Sănătății Publice privind coordonarea și organizarea Programului național de imunizări, 2019;</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Reviul comprehensiv al Programului extins de imunizări al Republicii Moldova, 2020;</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Evaluarea externă comună a Programului național de imunizări, 2018; </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postintroducere a vaccinului împotriva infecțiilor provocate de papilomavirusul uman, 2018;</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economică a introducerii vaccinului împotriva papilomavirusului uman în Republica Moldova, 2017;</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Raportul de evaluare comună a Programului național de imunizări, 2017;</w:t>
      </w:r>
    </w:p>
    <w:p w:rsidR="00010A67" w:rsidRPr="00010A67" w:rsidRDefault="00010A67" w:rsidP="00010A67">
      <w:pPr>
        <w:widowControl w:val="0"/>
        <w:numPr>
          <w:ilvl w:val="0"/>
          <w:numId w:val="16"/>
        </w:numPr>
        <w:tabs>
          <w:tab w:val="left" w:pos="360"/>
          <w:tab w:val="left" w:pos="450"/>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Cercetare calitativă privind pregătirea implementării vaccinului împotriva papilomavirusului uman în Republica Moldova, 2017.</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Prezentul Program este conceput ca un cadru complex, intersectorial, care să ghideze activitățile instituțiilor implicate în asigurarea accesului universal și echitabil la servicii sigure și acceptabile de imunizare, cu creșterea gradului de conștientizare a importanței imunizării pentru reducerea impactului negativ al bolilor ce pot fi prevenite prin vaccinare.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Etapele și termenele de implementare a Programului se efectuează în conformitate cu Planul de acțiuni.</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Amploarea provocărilor în materie de imunizări necesită o cooperare strânsă între toate părțile interesate. Mecanismul de coordonare este asigurat de Consiliul de coordonare a Programului, care este în subordinea Ministerului Sănătății și include autoritățile administrației publice centrale și locale, organizațiile internaționale și societatea civilă.</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Suportul consultativ în domeniul imunizărilor pentru Ministerul Sănătății și Consiliul de coordonare a Programului se acordă de către Comitetul național consultativ de experți în domeniul imunizărilor (NITAG).</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Prezentul Program descrie situaţia actuală prin bolile transmisibile în Republica Moldova, defineşte obiectivele generale, acţiunile şi intervențiile prioritare, stabilind responsabilităţi clare şi termene de realizare pentru toţi actorii implicaţi în prevenirea şi controlul bolilor infecțioase prin imunizare. </w:t>
      </w:r>
    </w:p>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II. ANALIZA SITUAȚIEI</w:t>
      </w:r>
    </w:p>
    <w:p w:rsidR="00010A67" w:rsidRPr="00010A67" w:rsidRDefault="00010A67" w:rsidP="00010A67">
      <w:pPr>
        <w:widowControl w:val="0"/>
        <w:numPr>
          <w:ilvl w:val="1"/>
          <w:numId w:val="15"/>
        </w:numPr>
        <w:tabs>
          <w:tab w:val="left" w:pos="142"/>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Republica Moldova, ca și majoritatea statelor lumii, aplică imunizarea ca pilon de bază al programelor de prevenire, aceasta fiind principala măsură de prevenire primară a bolilor infecțioase.</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Imunizările profilactice sistematice în Republica Moldova au fost inițiate la sfârșitul anilor 1950 împotriva variolei, poliomielitei, difteriei, tetanosului și rujeolei. Ca urmare a atingerii unei acoperiri vaccinale înalte a fost eradicată variola, eliminată poliomielita, iar pentru celelalte maladii a fost înregistrată o scădere semnificativă a cazurilor de boală. Primul Program național de imunizări a fost aprobat în anul 1994, iar până în prezent au fost implementate 5 cicluri de programe naționale. Eforturile statului în domeniul imunizărilor au fost susținute de asistența externă oferită de Alianța Globală pentru Vaccinuri și Imunizări, UNICEF și OMS, care continuă să acorde suport pentru consolidarea programelor de imunizare din Republica Moldova.</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Realizările programelor de imunizare au contribuit la fortificarea și menținerea unei acoperirii vaccinale optime, cu extinderea ulterioară a listei vaccinurilor garantate de stat şi a contingentelor de populație beneficiare, prin îmbunătățirea calității serviciilor de imunizare. Datorită vaccinării s-au realizat progrese semnificative în ceea ce privește combaterea unor boli transmisibile.  Începând cu anul 2000,  Republica Moldova a obținut și menține constant statutul de țară liberă de poliomielită, astfel s-a atins stadiul de eliminare a cazurilor indigene de rujeolă, </w:t>
      </w:r>
      <w:r w:rsidRPr="00010A67">
        <w:rPr>
          <w:rFonts w:ascii="Times New Roman" w:hAnsi="Times New Roman"/>
          <w:sz w:val="24"/>
          <w:szCs w:val="24"/>
        </w:rPr>
        <w:lastRenderedPageBreak/>
        <w:t xml:space="preserve">rubeolă, difterie și, în același timp, s-a redus semnificativ morbiditatea prin hepatita B, tetanos, tusea convulsivă, oreion, formele invazive a infecției cu </w:t>
      </w:r>
      <w:r w:rsidRPr="00010A67">
        <w:rPr>
          <w:rFonts w:ascii="Times New Roman" w:hAnsi="Times New Roman"/>
          <w:i/>
          <w:sz w:val="24"/>
          <w:szCs w:val="24"/>
        </w:rPr>
        <w:t>Haemophilus influenzae</w:t>
      </w:r>
      <w:r w:rsidRPr="00010A67">
        <w:rPr>
          <w:rFonts w:ascii="Times New Roman" w:hAnsi="Times New Roman"/>
          <w:sz w:val="24"/>
          <w:szCs w:val="24"/>
        </w:rPr>
        <w:t xml:space="preserve"> (HiB), infecția rotavirală și pneumococi. </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OMS estimează că, în prezent, vaccinurile salvează anual peste trei milioane de vieți din întreaga lume, iar în Republica Moldova, anual, datorită programului de vaccinare, sunt prevenite aproximativ 42 de mii de cazuri de boli prevenibile prin vaccinare și minimum 350 de decese, astfel vaccinarea devenind cea mai sigură și cost-eficientă măsură de sănătate publică.</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cadrul Programului sunt utilizate vaccinuri de rutină împotriva a 13 boli, și anume: hepatitei virale B, tuberculozei, poliomielitei, difteriei, tetanosului, tusei convulsive, infecției Hib, infecției cu rotavirusuri, infecției cu pneumococi, rujeolei, oreionului, rubeolei și infecției cu papilomavirusul uman.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total sunt utilizate 12 tipuri de vaccin în cadrul  Programului, acestea fiind monovalente – împotriva unei boli (tuberculozei – </w:t>
      </w:r>
      <w:r w:rsidRPr="00010A67">
        <w:rPr>
          <w:rFonts w:ascii="Times New Roman" w:hAnsi="Times New Roman"/>
          <w:i/>
          <w:sz w:val="24"/>
          <w:szCs w:val="24"/>
        </w:rPr>
        <w:t>BCG</w:t>
      </w:r>
      <w:r w:rsidRPr="00010A67">
        <w:rPr>
          <w:rFonts w:ascii="Times New Roman" w:hAnsi="Times New Roman"/>
          <w:sz w:val="24"/>
          <w:szCs w:val="24"/>
        </w:rPr>
        <w:t xml:space="preserve">, hepatitei virale B – </w:t>
      </w:r>
      <w:r w:rsidRPr="00010A67">
        <w:rPr>
          <w:rFonts w:ascii="Times New Roman" w:hAnsi="Times New Roman"/>
          <w:i/>
          <w:sz w:val="24"/>
          <w:szCs w:val="24"/>
        </w:rPr>
        <w:t>HepB</w:t>
      </w:r>
      <w:r w:rsidRPr="00010A67">
        <w:rPr>
          <w:rFonts w:ascii="Times New Roman" w:hAnsi="Times New Roman"/>
          <w:sz w:val="24"/>
          <w:szCs w:val="24"/>
        </w:rPr>
        <w:t xml:space="preserve">, poliomielitei – </w:t>
      </w:r>
      <w:r w:rsidRPr="00010A67">
        <w:rPr>
          <w:rFonts w:ascii="Times New Roman" w:hAnsi="Times New Roman"/>
          <w:i/>
          <w:sz w:val="24"/>
          <w:szCs w:val="24"/>
        </w:rPr>
        <w:t>VPO/VPI</w:t>
      </w:r>
      <w:r w:rsidRPr="00010A67">
        <w:rPr>
          <w:rFonts w:ascii="Times New Roman" w:hAnsi="Times New Roman"/>
          <w:sz w:val="24"/>
          <w:szCs w:val="24"/>
        </w:rPr>
        <w:t xml:space="preserve">, infecției cu rotavirusuri – </w:t>
      </w:r>
      <w:r w:rsidRPr="00010A67">
        <w:rPr>
          <w:rFonts w:ascii="Times New Roman" w:hAnsi="Times New Roman"/>
          <w:i/>
          <w:sz w:val="24"/>
          <w:szCs w:val="24"/>
        </w:rPr>
        <w:t>RV</w:t>
      </w:r>
      <w:r w:rsidRPr="00010A67">
        <w:rPr>
          <w:rFonts w:ascii="Times New Roman" w:hAnsi="Times New Roman"/>
          <w:sz w:val="24"/>
          <w:szCs w:val="24"/>
        </w:rPr>
        <w:t xml:space="preserve">, infecției cu pneumococi – </w:t>
      </w:r>
      <w:r w:rsidRPr="00010A67">
        <w:rPr>
          <w:rFonts w:ascii="Times New Roman" w:hAnsi="Times New Roman"/>
          <w:i/>
          <w:sz w:val="24"/>
          <w:szCs w:val="24"/>
        </w:rPr>
        <w:t>PCV</w:t>
      </w:r>
      <w:r w:rsidRPr="00010A67">
        <w:rPr>
          <w:rFonts w:ascii="Times New Roman" w:hAnsi="Times New Roman"/>
          <w:sz w:val="24"/>
          <w:szCs w:val="24"/>
        </w:rPr>
        <w:t xml:space="preserve">, infecției cu papilomavirusul uman – </w:t>
      </w:r>
      <w:r w:rsidRPr="00010A67">
        <w:rPr>
          <w:rFonts w:ascii="Times New Roman" w:hAnsi="Times New Roman"/>
          <w:i/>
          <w:sz w:val="24"/>
          <w:szCs w:val="24"/>
        </w:rPr>
        <w:t>HPV</w:t>
      </w:r>
      <w:r w:rsidRPr="00010A67">
        <w:rPr>
          <w:rFonts w:ascii="Times New Roman" w:hAnsi="Times New Roman"/>
          <w:sz w:val="24"/>
          <w:szCs w:val="24"/>
        </w:rPr>
        <w:t xml:space="preserve">) sau polivalente – împotriva mai multor boli (difteriei, tetanosului, tusei convulsive, hepatitei virale B și infecției Hib – </w:t>
      </w:r>
      <w:r w:rsidRPr="00010A67">
        <w:rPr>
          <w:rFonts w:ascii="Times New Roman" w:hAnsi="Times New Roman"/>
          <w:i/>
          <w:sz w:val="24"/>
          <w:szCs w:val="24"/>
        </w:rPr>
        <w:t>DTP –HepB-Hib</w:t>
      </w:r>
      <w:r w:rsidRPr="00010A67">
        <w:rPr>
          <w:rFonts w:ascii="Times New Roman" w:hAnsi="Times New Roman"/>
          <w:sz w:val="24"/>
          <w:szCs w:val="24"/>
        </w:rPr>
        <w:t xml:space="preserve">, difteriei, tetanosului și tusei convulsive – </w:t>
      </w:r>
      <w:r w:rsidRPr="00010A67">
        <w:rPr>
          <w:rFonts w:ascii="Times New Roman" w:hAnsi="Times New Roman"/>
          <w:i/>
          <w:sz w:val="24"/>
          <w:szCs w:val="24"/>
        </w:rPr>
        <w:t>DTP</w:t>
      </w:r>
      <w:r w:rsidRPr="00010A67">
        <w:rPr>
          <w:rFonts w:ascii="Times New Roman" w:hAnsi="Times New Roman"/>
          <w:sz w:val="24"/>
          <w:szCs w:val="24"/>
        </w:rPr>
        <w:t xml:space="preserve">, difteriei și tetanosului – </w:t>
      </w:r>
      <w:r w:rsidRPr="00010A67">
        <w:rPr>
          <w:rFonts w:ascii="Times New Roman" w:hAnsi="Times New Roman"/>
          <w:i/>
          <w:sz w:val="24"/>
          <w:szCs w:val="24"/>
        </w:rPr>
        <w:t>DT</w:t>
      </w:r>
      <w:r w:rsidRPr="00010A67">
        <w:rPr>
          <w:rFonts w:ascii="Times New Roman" w:hAnsi="Times New Roman"/>
          <w:sz w:val="24"/>
          <w:szCs w:val="24"/>
        </w:rPr>
        <w:t>,</w:t>
      </w:r>
      <w:r w:rsidRPr="00010A67">
        <w:rPr>
          <w:rFonts w:ascii="Times New Roman" w:hAnsi="Times New Roman"/>
          <w:i/>
          <w:sz w:val="24"/>
          <w:szCs w:val="24"/>
        </w:rPr>
        <w:t xml:space="preserve"> </w:t>
      </w:r>
      <w:r w:rsidRPr="00010A67">
        <w:rPr>
          <w:rFonts w:ascii="Times New Roman" w:hAnsi="Times New Roman"/>
          <w:sz w:val="24"/>
          <w:szCs w:val="24"/>
        </w:rPr>
        <w:t xml:space="preserve">tetanosului și difteriei – </w:t>
      </w:r>
      <w:r w:rsidRPr="00010A67">
        <w:rPr>
          <w:rFonts w:ascii="Times New Roman" w:hAnsi="Times New Roman"/>
          <w:i/>
          <w:sz w:val="24"/>
          <w:szCs w:val="24"/>
        </w:rPr>
        <w:t>Td</w:t>
      </w:r>
      <w:r w:rsidRPr="00010A67">
        <w:rPr>
          <w:rFonts w:ascii="Times New Roman" w:hAnsi="Times New Roman"/>
          <w:sz w:val="24"/>
          <w:szCs w:val="24"/>
        </w:rPr>
        <w:t xml:space="preserve">, rujeolei, oreionului și rubeolei – </w:t>
      </w:r>
      <w:r w:rsidRPr="00010A67">
        <w:rPr>
          <w:rFonts w:ascii="Times New Roman" w:hAnsi="Times New Roman"/>
          <w:i/>
          <w:sz w:val="24"/>
          <w:szCs w:val="24"/>
        </w:rPr>
        <w:t>ROR</w:t>
      </w:r>
      <w:r w:rsidRPr="00010A67">
        <w:rPr>
          <w:rFonts w:ascii="Times New Roman" w:hAnsi="Times New Roman"/>
          <w:sz w:val="24"/>
          <w:szCs w:val="24"/>
        </w:rPr>
        <w:t>).</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Furnizarea serviciilor de imunizare se efectuează pe tot parcursul vieții, inclusiv în cazul vaccinării întârziate și a dozelor de rapel. Prestarea serviciilor de imunizare se realizează în cabinetele de vaccinare din cadrul maternităților și instituțiilor medico-sanitare publice prestatoare de asistență medicală primară, după cum urmează:</w:t>
      </w:r>
    </w:p>
    <w:p w:rsidR="00010A67" w:rsidRPr="00010A67" w:rsidRDefault="00010A67" w:rsidP="00010A67">
      <w:pPr>
        <w:widowControl w:val="0"/>
        <w:numPr>
          <w:ilvl w:val="0"/>
          <w:numId w:val="17"/>
        </w:numPr>
        <w:tabs>
          <w:tab w:val="left" w:pos="0"/>
          <w:tab w:val="left" w:pos="1134"/>
        </w:tabs>
        <w:ind w:left="0" w:firstLine="709"/>
        <w:jc w:val="both"/>
        <w:rPr>
          <w:rFonts w:ascii="Times New Roman" w:hAnsi="Times New Roman"/>
          <w:sz w:val="24"/>
          <w:szCs w:val="24"/>
        </w:rPr>
      </w:pPr>
      <w:r w:rsidRPr="00010A67">
        <w:rPr>
          <w:rFonts w:ascii="Times New Roman" w:hAnsi="Times New Roman"/>
          <w:sz w:val="24"/>
          <w:szCs w:val="24"/>
        </w:rPr>
        <w:t>vaccinarea copiilor:</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în primele 24 de ore – vaccinul HepB-0;</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2-5 zile de la naștere – vaccinul BCG;</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2 luni – vaccinul DTP-HepB-Hib-1, VPO-1, RV-1 și PCV-1;</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4 luni – vaccinul DTP-HepB-Hib-2, VPO-2, RV-2 și PCV-2;</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la 6 luni – vaccinul DTP-HepB-Hib-3, VPO-3 și VPI-;  </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12 luni – vaccinul ROR-1 și PCV-3;</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22-24 luni – vaccinul DTP-4, VPI-2 și VPO-4;</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6-7 ani – vaccinul DT, ROR-2 și VPO-5;</w:t>
      </w:r>
    </w:p>
    <w:p w:rsidR="00010A67" w:rsidRPr="00010A67" w:rsidRDefault="00010A67" w:rsidP="00010A67">
      <w:pPr>
        <w:widowControl w:val="0"/>
        <w:numPr>
          <w:ilvl w:val="0"/>
          <w:numId w:val="17"/>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vaccinarea adolescenților:</w:t>
      </w:r>
    </w:p>
    <w:p w:rsidR="00010A67" w:rsidRPr="00010A67" w:rsidRDefault="00010A67" w:rsidP="00010A67">
      <w:pPr>
        <w:widowControl w:val="0"/>
        <w:numPr>
          <w:ilvl w:val="0"/>
          <w:numId w:val="19"/>
        </w:numPr>
        <w:tabs>
          <w:tab w:val="left" w:pos="284"/>
          <w:tab w:val="left" w:pos="993"/>
          <w:tab w:val="left" w:pos="1560"/>
        </w:tabs>
        <w:ind w:left="0" w:firstLine="709"/>
        <w:jc w:val="both"/>
        <w:rPr>
          <w:rFonts w:ascii="Times New Roman" w:hAnsi="Times New Roman"/>
          <w:sz w:val="24"/>
          <w:szCs w:val="24"/>
        </w:rPr>
      </w:pPr>
      <w:r w:rsidRPr="00010A67">
        <w:rPr>
          <w:rFonts w:ascii="Times New Roman" w:hAnsi="Times New Roman"/>
          <w:sz w:val="24"/>
          <w:szCs w:val="24"/>
        </w:rPr>
        <w:t>la 9-14 ani – HPV-1, iar HPV-2 peste 6 luni de la prima doză (persoanele cu vârsta mai mare de 14 ani vor administra 3 doze de HPV, a 2-a doză fiind administrată  la o distanță de 1-2 luni, iar a 3-a doză peste 6 luni de la prima doză);</w:t>
      </w:r>
    </w:p>
    <w:p w:rsidR="00010A67" w:rsidRPr="00010A67" w:rsidRDefault="00010A67" w:rsidP="00010A67">
      <w:pPr>
        <w:widowControl w:val="0"/>
        <w:numPr>
          <w:ilvl w:val="0"/>
          <w:numId w:val="19"/>
        </w:numPr>
        <w:tabs>
          <w:tab w:val="left" w:pos="284"/>
          <w:tab w:val="left" w:pos="993"/>
          <w:tab w:val="left" w:pos="1560"/>
        </w:tabs>
        <w:ind w:left="0" w:hanging="11"/>
        <w:jc w:val="both"/>
        <w:rPr>
          <w:rFonts w:ascii="Times New Roman" w:hAnsi="Times New Roman"/>
          <w:sz w:val="24"/>
          <w:szCs w:val="24"/>
        </w:rPr>
      </w:pPr>
      <w:r w:rsidRPr="00010A67">
        <w:rPr>
          <w:rFonts w:ascii="Times New Roman" w:hAnsi="Times New Roman"/>
          <w:sz w:val="24"/>
          <w:szCs w:val="24"/>
        </w:rPr>
        <w:t>la 15-16 ani – vaccinul Td și ROR-3;</w:t>
      </w:r>
    </w:p>
    <w:p w:rsidR="00010A67" w:rsidRPr="00010A67" w:rsidRDefault="00010A67" w:rsidP="00010A67">
      <w:pPr>
        <w:widowControl w:val="0"/>
        <w:numPr>
          <w:ilvl w:val="0"/>
          <w:numId w:val="20"/>
        </w:numPr>
        <w:tabs>
          <w:tab w:val="left" w:pos="284"/>
          <w:tab w:val="left" w:pos="993"/>
          <w:tab w:val="left" w:pos="1560"/>
        </w:tabs>
        <w:ind w:left="0" w:hanging="11"/>
        <w:jc w:val="both"/>
        <w:rPr>
          <w:rFonts w:ascii="Times New Roman" w:hAnsi="Times New Roman"/>
          <w:sz w:val="24"/>
          <w:szCs w:val="24"/>
        </w:rPr>
      </w:pPr>
      <w:r w:rsidRPr="00010A67">
        <w:rPr>
          <w:rFonts w:ascii="Times New Roman" w:hAnsi="Times New Roman"/>
          <w:sz w:val="24"/>
          <w:szCs w:val="24"/>
        </w:rPr>
        <w:t>vaccinarea adulților la 20, 30, 40, 50 și 60 de ani – vaccinul Td.</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același timp, vaccinarea se efectuează la indicații epidemiologice și la decizia Ministerului Sănătății, împotriva gripei, infecției COVID-19, rabiei, hepatitei virale B la adulți, hepatitei virale A, holerei, tularemiei, febrei tifoide și brucelozei.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Asigurarea ca toți și pretutindeni să beneficieze pe deplin de vaccinuri prin sporirea accesului echitabil și utilizării de vaccinuri noi este o prioritate pentru prezentul Program. Ultimul vaccin implementat în Republica Moldova a fost vaccinul împotriva infecțiilor provocate de papilomavirusul uman (HPV) în anul 2017. Vaccinarea poate preveni infecția cu tipurile de HPV care provoacă aproximativ 70 % din cazurile de cancer de col uterin (mai mult de 2 cazuri din 3). Cu toate acestea, vaccinarea este eficientă numai pentru persoanele care nu au fost încă infectate cu virusul respectiv. Infecția cu HPV este foarte frecventă la adulți. Majoritatea infecțiilor cu HPV nu prezintă simptome, prin urmare, persoanele infectate nu știu că sunt infectate. Până la 80% din populație va fi infectată la un moment dat în viață. În </w:t>
      </w:r>
      <w:r w:rsidRPr="00010A67">
        <w:rPr>
          <w:rFonts w:ascii="Times New Roman" w:hAnsi="Times New Roman"/>
          <w:sz w:val="24"/>
          <w:szCs w:val="24"/>
        </w:rPr>
        <w:lastRenderedPageBreak/>
        <w:t xml:space="preserve">majoritatea cazurilor virusul este eliminat, întrucât sistemul imunitar elimină infecția, însă, în unele cazuri, aceasta nu dispare și poate cauza cancer. Din acest motiv, este recomandată vaccinarea fetelor și băieților înainte ca aceștia să devină activi din punct de vedere sexual. Riscul de a contracta o infecție cu HPV crește odată cu numărul de parteneri sexuali. Utilizarea prezervativelor poate reduce, dar nu poate preveni complet transmiterea HPV între partenerii sexuali. Totodată, implementarea vaccinurilor împotriva varicelei și infecției meningococice sunt în proces de studiu.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Atunci când acoperirea vaccinală este menținută la nivel optim (peste 95%), incidența cazurilor de boli contagioase prevenibile prin vaccinare se reduce, iar în același timp se atestă și diminuarea prejudiciilor sociale și economice determinate de acestea.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lipsa vaccinării sau a tendinței continue de scădere a ratei cuprinderii cu vaccinări sub 90%, există probabilitatea înregistrării unei creșteri ascendente a numărului de cazuri de boli contagioase prevenibile prin vaccinări sau reapariția bolilor și manifestărilor epidemice.</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pofida realizărilor remarcabile de acoperire vaccinală împotriva tuturor antigenilor, se atestă o tendință de scădere în ultimii ani (tabelul 1). De exemplu, acoperirea vaccinală împotriva rujeolei, oreionului și rubeolei (ROR-1) la vârsta-țintă de 12 luni a scăzut de la 95% în 2008 la 83% în 2021.</w:t>
      </w:r>
    </w:p>
    <w:p w:rsidR="00010A67" w:rsidRPr="00010A67" w:rsidRDefault="00010A67" w:rsidP="00010A67">
      <w:pPr>
        <w:widowControl w:val="0"/>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Imunizarea a devenit victima propriului succes datorită faptului că  odată cu reducerea drastică a numărului de cazuri în societate s-a creat o percepție greșită că bolile prevenibile prin vaccinare nu mai prezintă  un pericol.</w:t>
      </w:r>
    </w:p>
    <w:p w:rsidR="00010A67" w:rsidRPr="00010A67" w:rsidRDefault="00010A67" w:rsidP="00010A67">
      <w:pPr>
        <w:tabs>
          <w:tab w:val="left" w:pos="426"/>
          <w:tab w:val="left" w:pos="1134"/>
        </w:tabs>
        <w:ind w:left="709"/>
        <w:jc w:val="both"/>
        <w:rPr>
          <w:rFonts w:ascii="Times New Roman" w:hAnsi="Times New Roman"/>
          <w:sz w:val="24"/>
          <w:szCs w:val="24"/>
        </w:rPr>
      </w:pPr>
    </w:p>
    <w:p w:rsidR="00010A67" w:rsidRPr="00010A67" w:rsidRDefault="00010A67" w:rsidP="00010A67">
      <w:pPr>
        <w:tabs>
          <w:tab w:val="left" w:pos="426"/>
          <w:tab w:val="left" w:pos="1134"/>
        </w:tabs>
        <w:ind w:left="709"/>
        <w:rPr>
          <w:rFonts w:ascii="Times New Roman" w:hAnsi="Times New Roman"/>
          <w:sz w:val="24"/>
          <w:szCs w:val="24"/>
        </w:rPr>
      </w:pPr>
      <w:r w:rsidRPr="00010A67">
        <w:rPr>
          <w:rFonts w:ascii="Times New Roman" w:hAnsi="Times New Roman"/>
          <w:b/>
          <w:sz w:val="24"/>
          <w:szCs w:val="24"/>
        </w:rPr>
        <w:t>Cuprinderea cu vaccinări contra bolilor prevenibile prin vaccinări la vârstele-țintă în Republica Moldova, anii 2016- 2021</w:t>
      </w:r>
      <w:r w:rsidRPr="00010A67">
        <w:rPr>
          <w:rFonts w:ascii="Times New Roman" w:hAnsi="Times New Roman"/>
          <w:sz w:val="24"/>
          <w:szCs w:val="24"/>
        </w:rPr>
        <w:t>.</w:t>
      </w:r>
    </w:p>
    <w:p w:rsidR="00010A67" w:rsidRPr="00010A67" w:rsidRDefault="00010A67" w:rsidP="00010A67">
      <w:pPr>
        <w:tabs>
          <w:tab w:val="left" w:pos="1134"/>
          <w:tab w:val="left" w:pos="6386"/>
        </w:tabs>
        <w:jc w:val="right"/>
        <w:rPr>
          <w:rFonts w:ascii="Times New Roman" w:hAnsi="Times New Roman"/>
          <w:b/>
          <w:sz w:val="24"/>
          <w:szCs w:val="24"/>
          <w:lang w:eastAsia="ru-RU"/>
        </w:rPr>
      </w:pPr>
      <w:r w:rsidRPr="00010A67">
        <w:rPr>
          <w:rFonts w:ascii="Times New Roman" w:hAnsi="Times New Roman"/>
          <w:b/>
          <w:sz w:val="24"/>
          <w:szCs w:val="24"/>
          <w:lang w:eastAsia="ru-RU"/>
        </w:rPr>
        <w:t>Tabelul 1</w:t>
      </w:r>
    </w:p>
    <w:p w:rsidR="00010A67" w:rsidRPr="00010A67" w:rsidRDefault="00010A67" w:rsidP="00010A67">
      <w:pPr>
        <w:tabs>
          <w:tab w:val="left" w:pos="1134"/>
          <w:tab w:val="left" w:pos="6386"/>
        </w:tabs>
        <w:rPr>
          <w:rFonts w:ascii="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2455"/>
        <w:gridCol w:w="1145"/>
        <w:gridCol w:w="1001"/>
        <w:gridCol w:w="1003"/>
        <w:gridCol w:w="1001"/>
        <w:gridCol w:w="970"/>
        <w:gridCol w:w="866"/>
      </w:tblGrid>
      <w:tr w:rsidR="00010A67" w:rsidRPr="00010A67" w:rsidTr="00010A67">
        <w:trPr>
          <w:trHeight w:val="219"/>
        </w:trPr>
        <w:tc>
          <w:tcPr>
            <w:tcW w:w="371" w:type="pct"/>
            <w:vMerge w:val="restar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Nr. crt.</w:t>
            </w:r>
          </w:p>
        </w:tc>
        <w:tc>
          <w:tcPr>
            <w:tcW w:w="1346" w:type="pct"/>
            <w:vMerge w:val="restar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Vaccinuri</w:t>
            </w:r>
          </w:p>
        </w:tc>
        <w:tc>
          <w:tcPr>
            <w:tcW w:w="3283" w:type="pct"/>
            <w:gridSpan w:val="6"/>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Ponderea acoperirii vaccinale (%) în anii</w:t>
            </w:r>
          </w:p>
        </w:tc>
      </w:tr>
      <w:tr w:rsidR="00010A67" w:rsidRPr="00010A67" w:rsidTr="00010A67">
        <w:trPr>
          <w:trHeight w:val="230"/>
        </w:trPr>
        <w:tc>
          <w:tcPr>
            <w:tcW w:w="371" w:type="pct"/>
            <w:vMerge/>
          </w:tcPr>
          <w:p w:rsidR="00010A67" w:rsidRPr="00010A67" w:rsidRDefault="00010A67" w:rsidP="00010A67">
            <w:pPr>
              <w:rPr>
                <w:rFonts w:ascii="Times New Roman" w:hAnsi="Times New Roman"/>
                <w:b/>
                <w:sz w:val="24"/>
                <w:szCs w:val="24"/>
              </w:rPr>
            </w:pPr>
          </w:p>
        </w:tc>
        <w:tc>
          <w:tcPr>
            <w:tcW w:w="1346" w:type="pct"/>
            <w:vMerge/>
          </w:tcPr>
          <w:p w:rsidR="00010A67" w:rsidRPr="00010A67" w:rsidRDefault="00010A67" w:rsidP="00010A67">
            <w:pPr>
              <w:rPr>
                <w:rFonts w:ascii="Times New Roman" w:hAnsi="Times New Roman"/>
                <w:b/>
                <w:sz w:val="24"/>
                <w:szCs w:val="24"/>
              </w:rPr>
            </w:pPr>
          </w:p>
        </w:tc>
        <w:tc>
          <w:tcPr>
            <w:tcW w:w="628"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2016</w:t>
            </w:r>
          </w:p>
        </w:tc>
        <w:tc>
          <w:tcPr>
            <w:tcW w:w="549"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2017</w:t>
            </w:r>
          </w:p>
        </w:tc>
        <w:tc>
          <w:tcPr>
            <w:tcW w:w="550"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2018</w:t>
            </w:r>
          </w:p>
        </w:tc>
        <w:tc>
          <w:tcPr>
            <w:tcW w:w="549"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2019</w:t>
            </w:r>
          </w:p>
        </w:tc>
        <w:tc>
          <w:tcPr>
            <w:tcW w:w="532"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2020</w:t>
            </w:r>
          </w:p>
        </w:tc>
        <w:tc>
          <w:tcPr>
            <w:tcW w:w="473"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2021</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BCG</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96,4</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97,8</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97,5</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2.</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HepB- 0</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98,6</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99,0</w:t>
            </w:r>
          </w:p>
        </w:tc>
        <w:tc>
          <w:tcPr>
            <w:tcW w:w="532" w:type="pct"/>
            <w:shd w:val="clear" w:color="auto" w:fill="auto"/>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98,4</w:t>
            </w:r>
          </w:p>
        </w:tc>
        <w:tc>
          <w:tcPr>
            <w:tcW w:w="473" w:type="pct"/>
            <w:shd w:val="clear" w:color="auto" w:fill="auto"/>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98,8</w:t>
            </w:r>
          </w:p>
        </w:tc>
      </w:tr>
      <w:tr w:rsidR="00010A67" w:rsidRPr="00010A67" w:rsidTr="00010A67">
        <w:trPr>
          <w:trHeight w:val="214"/>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90,3</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91,4</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87,3</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4.</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Rota- 2* RM</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70,5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71,0</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71,5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72,8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70,9</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68,6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5.</w:t>
            </w:r>
          </w:p>
        </w:tc>
        <w:tc>
          <w:tcPr>
            <w:tcW w:w="1346"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Rota- 2* RM MalDr</w:t>
            </w:r>
          </w:p>
        </w:tc>
        <w:tc>
          <w:tcPr>
            <w:tcW w:w="628"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79,3</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79,7</w:t>
            </w:r>
          </w:p>
        </w:tc>
        <w:tc>
          <w:tcPr>
            <w:tcW w:w="550"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80,6</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81,9</w:t>
            </w:r>
          </w:p>
        </w:tc>
        <w:tc>
          <w:tcPr>
            <w:tcW w:w="532" w:type="pct"/>
          </w:tcPr>
          <w:p w:rsidR="00010A67" w:rsidRPr="00010A67" w:rsidRDefault="00010A67" w:rsidP="00010A67">
            <w:pPr>
              <w:rPr>
                <w:rFonts w:ascii="Times New Roman" w:hAnsi="Times New Roman"/>
                <w:i/>
                <w:sz w:val="24"/>
                <w:szCs w:val="24"/>
              </w:rPr>
            </w:pPr>
            <w:r w:rsidRPr="00010A67">
              <w:rPr>
                <w:rFonts w:ascii="Times New Roman" w:hAnsi="Times New Roman"/>
                <w:sz w:val="24"/>
                <w:szCs w:val="24"/>
              </w:rPr>
              <w:t>78,9</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76,9</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6.</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DTP- 3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89,2</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90,2</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90,1</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86,7</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Hib –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88,7</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89,6</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86,4</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86,8</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HepB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89,5</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91,1</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91,2</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87,5</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86,8</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Pneumo – 3* RM</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76,3</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78,9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78,0</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75,7</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74,7</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10.</w:t>
            </w:r>
          </w:p>
        </w:tc>
        <w:tc>
          <w:tcPr>
            <w:tcW w:w="1346"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Pneumo–3*RM MalDr</w:t>
            </w:r>
          </w:p>
        </w:tc>
        <w:tc>
          <w:tcPr>
            <w:tcW w:w="628"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86,2</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85,7</w:t>
            </w:r>
          </w:p>
        </w:tc>
        <w:tc>
          <w:tcPr>
            <w:tcW w:w="550"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89,0</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87,8</w:t>
            </w:r>
          </w:p>
        </w:tc>
        <w:tc>
          <w:tcPr>
            <w:tcW w:w="532" w:type="pct"/>
          </w:tcPr>
          <w:p w:rsidR="00010A67" w:rsidRPr="00010A67" w:rsidRDefault="00010A67" w:rsidP="00010A67">
            <w:pPr>
              <w:rPr>
                <w:rFonts w:ascii="Times New Roman" w:hAnsi="Times New Roman"/>
                <w:i/>
                <w:sz w:val="24"/>
                <w:szCs w:val="24"/>
              </w:rPr>
            </w:pPr>
            <w:r w:rsidRPr="00010A67">
              <w:rPr>
                <w:rFonts w:ascii="Times New Roman" w:hAnsi="Times New Roman"/>
                <w:sz w:val="24"/>
                <w:szCs w:val="24"/>
              </w:rPr>
              <w:t>84,5</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83,7</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11.</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ROR -1</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87,1</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90,3</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88,0</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83,3</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83,2</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12.</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 la 3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90,2</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89,4</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89,1</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86,4</w:t>
            </w:r>
          </w:p>
        </w:tc>
      </w:tr>
      <w:tr w:rsidR="00010A67" w:rsidRPr="00010A67" w:rsidTr="00010A67">
        <w:trPr>
          <w:trHeight w:val="214"/>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13.</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DTP la 3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89,6</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88,3</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85,6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14.</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 la 7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94,4</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95,3</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95,2</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92,0</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82,4</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15.</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DT la 7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94,1</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95,1</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92,5</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92,2</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16.</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ROR la 7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96,0</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93,3</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17.</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HPV la 10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X</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51,7</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44,2</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35,8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31,0</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39,9</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18.</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Td la 15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95,1</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96,5</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92,2</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92,3</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19.</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ROR la 15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97,4</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95,5</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92,5</w:t>
            </w:r>
          </w:p>
        </w:tc>
      </w:tr>
      <w:tr w:rsidR="00010A67" w:rsidRPr="00010A67" w:rsidTr="00010A67">
        <w:trPr>
          <w:trHeight w:val="214"/>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20.</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Td adulți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74,6</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89,5</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74,2</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74,8</w:t>
            </w:r>
          </w:p>
        </w:tc>
      </w:tr>
    </w:tbl>
    <w:p w:rsidR="00010A67" w:rsidRPr="00010A67" w:rsidRDefault="00010A67" w:rsidP="00010A67">
      <w:pPr>
        <w:tabs>
          <w:tab w:val="left" w:pos="1134"/>
          <w:tab w:val="left" w:pos="6386"/>
        </w:tabs>
        <w:rPr>
          <w:rFonts w:ascii="Times New Roman" w:hAnsi="Times New Roman"/>
          <w:sz w:val="24"/>
          <w:szCs w:val="24"/>
          <w:lang w:eastAsia="ru-RU"/>
        </w:rPr>
      </w:pPr>
    </w:p>
    <w:p w:rsidR="00010A67" w:rsidRPr="00010A67" w:rsidRDefault="00010A67" w:rsidP="00010A67">
      <w:pPr>
        <w:numPr>
          <w:ilvl w:val="1"/>
          <w:numId w:val="15"/>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Tendința semnificativă de scădere a numărului de persoane vaccinate în perioada anilor 2016-2021 în unele grupuri  de populație este cauzată de informații false, mituri, contraindicații false la vaccinare, apartenența la confesiuni religioase sau convingeri personale. Totodată,  o scădere mai pronunțată a acoperirii vaccinale pentru anii 2020 și 2021 a fost cauzată inclusiv de restricțiile impuse în pandemia COVID-19.</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pofida faptului acoperirii vaccinale nesatisfăcătoare la vârsta-țintă de un an, măsurile continue de imunizare prin campanii de intensificare au dus la atingerea unor rate mai înalte la vârste mai mari. Spre exemplu, în 2021 rata de vaccinare cu ROR la vârsta de un an este de 83%, la vârsta de 7 ani aceasta este de 91%, iar la vârsta de 15 ani – 92,5%.</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Totodată, acțiunile întreprinse de către sistemul de sănătate, vaccinarea </w:t>
      </w:r>
      <w:r w:rsidRPr="00010A67">
        <w:rPr>
          <w:rFonts w:ascii="Times New Roman" w:hAnsi="Times New Roman"/>
          <w:color w:val="000000" w:themeColor="text1"/>
          <w:sz w:val="24"/>
          <w:szCs w:val="24"/>
        </w:rPr>
        <w:t>conform Calendarului național de vaccinare, monitorizarea permanentă a morbidității, măsurile pro</w:t>
      </w:r>
      <w:r w:rsidRPr="00010A67">
        <w:rPr>
          <w:rFonts w:ascii="Times New Roman" w:hAnsi="Times New Roman"/>
          <w:sz w:val="24"/>
          <w:szCs w:val="24"/>
        </w:rPr>
        <w:t>filactice și antiepidemice întreprinse, au permis menținerea în anii 2016-2021 a situației epidemiologice favorabile pentru maladiile prevenibile prin vaccinare.</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perioada 2016-2021, ca urmare a realizării Programului național de imunizări nu au fost înregistrate boli ca poliomielită provocată de virusul sălbatic sau vaccin-asociate, tetanos neonatal, difterie, rubeolă și rubeolă congenitală, forme invazive ale infecției cu </w:t>
      </w:r>
      <w:r w:rsidRPr="00010A67">
        <w:rPr>
          <w:rFonts w:ascii="Times New Roman" w:hAnsi="Times New Roman"/>
          <w:i/>
          <w:sz w:val="24"/>
          <w:szCs w:val="24"/>
        </w:rPr>
        <w:t>Haemophilus influenzae</w:t>
      </w:r>
      <w:r w:rsidRPr="00010A67">
        <w:rPr>
          <w:rFonts w:ascii="Times New Roman" w:hAnsi="Times New Roman"/>
          <w:sz w:val="24"/>
          <w:szCs w:val="24"/>
        </w:rPr>
        <w:t xml:space="preserve"> (Hib), pneumococi. Totodată, au fost înregistrate progrese în diminuarea cazurilor de boli ca tusea convulsivă, infecția cu rotavirus, hepatita virală B. </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Ca urmare a diminuării ratei acoperirii vaccinale împotriva rujeolei care se atestă în  ultimii ani, în anul 2018 a fost înregistrată prima izbucnire de rujeolă pe teritoriul Republicii Moldova, ultimul caz fiind înregistrat în 2014. Astfel, în perioada anilor 2018-2020 au fost înregistrate în total 447 de cazuri (2018 – 340 de cazuri, 2019 – 90 de cazuri și 2020 – 17 cazuri). În anul 2021 nu a fost înregistrat nici un caz de rujeolă.</w:t>
      </w:r>
    </w:p>
    <w:p w:rsidR="00010A67" w:rsidRPr="00010A67" w:rsidRDefault="00010A67" w:rsidP="00010A67">
      <w:pPr>
        <w:tabs>
          <w:tab w:val="left" w:pos="1134"/>
        </w:tabs>
        <w:rPr>
          <w:rFonts w:ascii="Times New Roman" w:hAnsi="Times New Roman"/>
          <w:b/>
          <w:sz w:val="24"/>
          <w:szCs w:val="24"/>
        </w:rPr>
      </w:pP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Morbiditatea prin boli infecțioase prevenibile</w:t>
      </w: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prin vaccinări în Republica Moldova,</w:t>
      </w: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anii 2016-2021, cazurile absolute și incidența la 100 mii</w:t>
      </w:r>
    </w:p>
    <w:p w:rsidR="00010A67" w:rsidRPr="00010A67" w:rsidRDefault="00010A67" w:rsidP="00010A67">
      <w:pPr>
        <w:tabs>
          <w:tab w:val="left" w:pos="1134"/>
        </w:tabs>
        <w:jc w:val="right"/>
        <w:rPr>
          <w:rFonts w:ascii="Times New Roman" w:hAnsi="Times New Roman"/>
          <w:b/>
          <w:sz w:val="24"/>
          <w:szCs w:val="24"/>
        </w:rPr>
      </w:pPr>
      <w:r w:rsidRPr="00010A67">
        <w:rPr>
          <w:rFonts w:ascii="Times New Roman" w:hAnsi="Times New Roman"/>
          <w:b/>
          <w:sz w:val="24"/>
          <w:szCs w:val="24"/>
        </w:rPr>
        <w:t>Tabelul 2</w:t>
      </w:r>
    </w:p>
    <w:tbl>
      <w:tblPr>
        <w:tblW w:w="5361" w:type="pc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1426"/>
        <w:gridCol w:w="586"/>
        <w:gridCol w:w="710"/>
        <w:gridCol w:w="585"/>
        <w:gridCol w:w="710"/>
        <w:gridCol w:w="585"/>
        <w:gridCol w:w="710"/>
        <w:gridCol w:w="585"/>
        <w:gridCol w:w="710"/>
        <w:gridCol w:w="587"/>
        <w:gridCol w:w="710"/>
        <w:gridCol w:w="587"/>
        <w:gridCol w:w="712"/>
      </w:tblGrid>
      <w:tr w:rsidR="00010A67" w:rsidRPr="00010A67" w:rsidTr="00010A67">
        <w:trPr>
          <w:trHeight w:val="238"/>
        </w:trPr>
        <w:tc>
          <w:tcPr>
            <w:tcW w:w="293" w:type="pct"/>
            <w:vMerge w:val="restart"/>
          </w:tcPr>
          <w:p w:rsidR="00010A67" w:rsidRPr="00010A67" w:rsidRDefault="00010A67" w:rsidP="00010A67">
            <w:pPr>
              <w:rPr>
                <w:rFonts w:ascii="Times New Roman" w:hAnsi="Times New Roman"/>
                <w:b/>
                <w:sz w:val="20"/>
                <w:szCs w:val="20"/>
              </w:rPr>
            </w:pPr>
            <w:r w:rsidRPr="00010A67">
              <w:rPr>
                <w:rFonts w:ascii="Times New Roman" w:hAnsi="Times New Roman"/>
                <w:b/>
                <w:sz w:val="20"/>
                <w:szCs w:val="20"/>
              </w:rPr>
              <w:t>Nr. crt.</w:t>
            </w:r>
          </w:p>
        </w:tc>
        <w:tc>
          <w:tcPr>
            <w:tcW w:w="729" w:type="pct"/>
            <w:vMerge w:val="restart"/>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Denumirea infecțiilor</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2016</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2017</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2018</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2019</w:t>
            </w:r>
          </w:p>
        </w:tc>
        <w:tc>
          <w:tcPr>
            <w:tcW w:w="663"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2020</w:t>
            </w:r>
          </w:p>
        </w:tc>
        <w:tc>
          <w:tcPr>
            <w:tcW w:w="664"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2021</w:t>
            </w:r>
          </w:p>
        </w:tc>
      </w:tr>
      <w:tr w:rsidR="00010A67" w:rsidRPr="00010A67" w:rsidTr="00010A67">
        <w:trPr>
          <w:trHeight w:val="64"/>
        </w:trPr>
        <w:tc>
          <w:tcPr>
            <w:tcW w:w="293" w:type="pct"/>
            <w:vMerge/>
          </w:tcPr>
          <w:p w:rsidR="00010A67" w:rsidRPr="00010A67" w:rsidRDefault="00010A67" w:rsidP="00010A67">
            <w:pPr>
              <w:spacing w:line="276" w:lineRule="auto"/>
              <w:rPr>
                <w:rFonts w:ascii="Times New Roman" w:hAnsi="Times New Roman"/>
                <w:b/>
                <w:sz w:val="20"/>
                <w:szCs w:val="20"/>
              </w:rPr>
            </w:pPr>
          </w:p>
        </w:tc>
        <w:tc>
          <w:tcPr>
            <w:tcW w:w="729" w:type="pct"/>
            <w:vMerge/>
          </w:tcPr>
          <w:p w:rsidR="00010A67" w:rsidRPr="00010A67" w:rsidRDefault="00010A67" w:rsidP="00010A67">
            <w:pPr>
              <w:spacing w:line="276" w:lineRule="auto"/>
              <w:ind w:hanging="12"/>
              <w:rPr>
                <w:rFonts w:ascii="Times New Roman" w:hAnsi="Times New Roman"/>
                <w:b/>
                <w:sz w:val="20"/>
                <w:szCs w:val="20"/>
              </w:rPr>
            </w:pP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 </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incidența </w:t>
            </w: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cazuri </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incidența </w:t>
            </w:r>
          </w:p>
        </w:tc>
        <w:tc>
          <w:tcPr>
            <w:tcW w:w="300"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c>
          <w:tcPr>
            <w:tcW w:w="300"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3"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Difteria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2.</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Tetanos</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24"/>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Tusea convulsivă</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283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7,03</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355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8,83</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217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5,40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175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4,36</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60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1,5</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0,12</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4.</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Poliomielita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483"/>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5.</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Infecția cu rotavirusuri</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255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6,3</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396</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9,85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223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5,55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214</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5,34</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126</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3,14</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42</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1,05</w:t>
            </w:r>
          </w:p>
        </w:tc>
      </w:tr>
      <w:tr w:rsidR="00010A67" w:rsidRPr="00010A67" w:rsidTr="00010A67">
        <w:trPr>
          <w:trHeight w:val="296"/>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6.</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Hepatita B acută</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26</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0,65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0,57</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0,62</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0,17</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11</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0,27</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Rubeola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Rujeola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340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8,46</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90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2,24</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0,42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Oreionul</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109</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2,71</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78</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1,94</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127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3,16</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112</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2,79</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0,82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39</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0,97</w:t>
            </w:r>
          </w:p>
        </w:tc>
      </w:tr>
      <w:tr w:rsidR="00010A67" w:rsidRPr="00010A67" w:rsidTr="00010A67">
        <w:trPr>
          <w:trHeight w:val="46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10.</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Infecția cu Hib(forme</w:t>
            </w:r>
          </w:p>
          <w:p w:rsidR="00010A67" w:rsidRPr="00010A67" w:rsidRDefault="00010A67" w:rsidP="00010A67">
            <w:pPr>
              <w:rPr>
                <w:rFonts w:ascii="Times New Roman" w:hAnsi="Times New Roman"/>
                <w:sz w:val="24"/>
                <w:szCs w:val="24"/>
              </w:rPr>
            </w:pPr>
            <w:r w:rsidRPr="00010A67">
              <w:rPr>
                <w:rFonts w:ascii="Times New Roman" w:hAnsi="Times New Roman"/>
                <w:sz w:val="24"/>
                <w:szCs w:val="24"/>
              </w:rPr>
              <w:lastRenderedPageBreak/>
              <w:t>generalizate)</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lastRenderedPageBreak/>
              <w:t>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0,07</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726"/>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lastRenderedPageBreak/>
              <w:t>11.</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Infecția cu pneumococi (forme generalizate)</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0,17</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0,25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bl>
    <w:p w:rsidR="00010A67" w:rsidRPr="00010A67" w:rsidRDefault="00010A67" w:rsidP="00010A67">
      <w:pPr>
        <w:tabs>
          <w:tab w:val="left" w:pos="1134"/>
          <w:tab w:val="left" w:pos="6386"/>
        </w:tabs>
        <w:rPr>
          <w:rFonts w:ascii="Times New Roman" w:hAnsi="Times New Roman"/>
          <w:b/>
          <w:sz w:val="24"/>
          <w:szCs w:val="24"/>
          <w:lang w:eastAsia="ru-RU"/>
        </w:rPr>
      </w:pP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r. Hîncești ca urmare a diminuării ratei acoperirii vaccinale la tusa convulsiva în 2023 au fost înregistrate 3 cazuri în localitățile s. Crasnoarmeiscoe (2 cazuri) și s. Lăpușna. Numărul de cazuri de boli imunodirijabile în r. Hîncești sunt prezentate în tabelul </w:t>
      </w:r>
      <w:r w:rsidRPr="00010A67">
        <w:rPr>
          <w:rFonts w:ascii="Times New Roman" w:hAnsi="Times New Roman"/>
          <w:b/>
          <w:sz w:val="24"/>
          <w:szCs w:val="24"/>
        </w:rPr>
        <w:t>2.1</w:t>
      </w:r>
    </w:p>
    <w:p w:rsidR="00010A67" w:rsidRPr="00010A67" w:rsidRDefault="00010A67" w:rsidP="00010A67">
      <w:pPr>
        <w:tabs>
          <w:tab w:val="left" w:pos="426"/>
          <w:tab w:val="left" w:pos="1134"/>
        </w:tabs>
        <w:ind w:left="709"/>
        <w:jc w:val="right"/>
        <w:rPr>
          <w:rFonts w:ascii="Times New Roman" w:hAnsi="Times New Roman"/>
          <w:sz w:val="24"/>
          <w:szCs w:val="24"/>
        </w:rPr>
      </w:pPr>
      <w:r w:rsidRPr="00010A67">
        <w:rPr>
          <w:rFonts w:ascii="Times New Roman" w:hAnsi="Times New Roman"/>
          <w:b/>
          <w:sz w:val="24"/>
          <w:szCs w:val="24"/>
        </w:rPr>
        <w:t>Tabelul 2.1</w:t>
      </w:r>
    </w:p>
    <w:p w:rsidR="00010A67" w:rsidRPr="00010A67" w:rsidRDefault="00010A67" w:rsidP="00010A67">
      <w:pPr>
        <w:tabs>
          <w:tab w:val="left" w:pos="426"/>
          <w:tab w:val="left" w:pos="1134"/>
        </w:tabs>
        <w:jc w:val="both"/>
        <w:rPr>
          <w:rFonts w:ascii="Times New Roman" w:hAnsi="Times New Roman"/>
          <w:sz w:val="24"/>
          <w:szCs w:val="24"/>
        </w:rPr>
      </w:pPr>
      <w:r w:rsidRPr="00010A67">
        <w:rPr>
          <w:rFonts w:ascii="Times New Roman" w:hAnsi="Times New Roman"/>
          <w:noProof/>
          <w:lang w:val="ro-RO" w:eastAsia="ro-RO"/>
        </w:rPr>
        <w:drawing>
          <wp:inline distT="0" distB="0" distL="0" distR="0" wp14:anchorId="717D9277" wp14:editId="7968E460">
            <wp:extent cx="5796915" cy="3451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96915" cy="3451225"/>
                    </a:xfrm>
                    <a:prstGeom prst="rect">
                      <a:avLst/>
                    </a:prstGeom>
                    <a:noFill/>
                    <a:ln>
                      <a:noFill/>
                    </a:ln>
                  </pic:spPr>
                </pic:pic>
              </a:graphicData>
            </a:graphic>
          </wp:inline>
        </w:drawing>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Conform rezultatelor implementării Programului național de imunizări pentru anii 2016-2020 au fost îndepliniți următorii indicatori:</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menținerea statutului Republicii Moldova ca țară liberă de poliomielită (zero cazuri) și contribuția țării la eradicarea globală a poliomielitei;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eliminarea durabilă a cazurilor indigene de rubeolă, de rubeolă congenitală și de difterie, astfel că nu au fost înregistrate nici un caz din cele enumerate;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menținerea la nivel de unități a cazurilor de tetanos (1 caz în 2019) în rândul populației generale și de tuberculoză generalizată la copii (zero cazuri);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menținerea incidenței prin hepatita virală B în rândul populației generale sub 1 caz la 100 mii de populație, printre copii – sub 0,5 cazuri la 100 mii;</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 reducerea incidenței prin tuse convulsivă şi prin oreion în anii 2020 și 2021 – sub 2 cazuri la 100 mii de populație;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reducerea semnificativă a morbidității și mortalității prin infecția cu rotavirusuri, meningite septice și pneumonii, cauzate de infecțiile cu </w:t>
      </w:r>
      <w:r w:rsidRPr="00010A67">
        <w:rPr>
          <w:rFonts w:ascii="Times New Roman" w:hAnsi="Times New Roman"/>
          <w:i/>
          <w:sz w:val="24"/>
          <w:szCs w:val="24"/>
        </w:rPr>
        <w:t>Haemophilus influenzae</w:t>
      </w:r>
      <w:r w:rsidRPr="00010A67">
        <w:rPr>
          <w:rFonts w:ascii="Times New Roman" w:hAnsi="Times New Roman"/>
          <w:sz w:val="24"/>
          <w:szCs w:val="24"/>
        </w:rPr>
        <w:t xml:space="preserve"> tip b și </w:t>
      </w:r>
      <w:r w:rsidRPr="00010A67">
        <w:rPr>
          <w:rFonts w:ascii="Times New Roman" w:hAnsi="Times New Roman"/>
          <w:i/>
          <w:sz w:val="24"/>
          <w:szCs w:val="24"/>
        </w:rPr>
        <w:t>Streptococcus pneumoniae</w:t>
      </w:r>
      <w:r w:rsidRPr="00010A67">
        <w:rPr>
          <w:rFonts w:ascii="Times New Roman" w:hAnsi="Times New Roman"/>
          <w:sz w:val="24"/>
          <w:szCs w:val="24"/>
        </w:rPr>
        <w:t xml:space="preserve"> la copii cu vârsta sub 5 ani.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Pandemia COVID-19 și criza refugiaților din regiune în anul 2022 au demonstrat riscuri iminente de declanșare a urgențelor de sănătate publică în Republica Moldova. Deficiențele persistente în ceea ce privește ratele de vaccinare, sistemul de supraveghere și </w:t>
      </w:r>
      <w:r w:rsidRPr="00010A67">
        <w:rPr>
          <w:rFonts w:ascii="Times New Roman" w:hAnsi="Times New Roman"/>
          <w:sz w:val="24"/>
          <w:szCs w:val="24"/>
        </w:rPr>
        <w:lastRenderedPageBreak/>
        <w:t>furnizarea serviciilor de imunizare sunt cele mai mari provocări pentru sănătatea publică care intensifică considerabil riscul apariției focarelor de boli contagioase prevenibile prin vaccinare.</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Imunizarea în situații de urgență, precum și orice lacune a păturii imune în rândul populației țării, refugiaților și migranților a scos în evidență necesitatea asigurării accesului la serviciile de imunizare cu acțiuni de promovare intense prin mobilizarea socială în zone și grupuri de risc care au o acoperire suboptimă. Responsabilitatea comună prin schimbarea comportamentală de conștientizare a importanței vaccinării poate ajuta la atingerea obiectivelor de eradicare globală a poliomielitei, de eliminare regională a rujeolei și a rubeolei și la scăderea semnificativă a bolilor ce pot fi prevenite prin vaccinare.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Accesul universal la vaccinuri este garantat prin livrarea serviciilor de imunizare în toate teritoriile administrative ale Republicii Moldova prin intermediul instituțiilor medico-sanitare publice din cadrul asistenței medicale primare sau maternități, iar în situațiile în care persoanele din grupurile de risc nu au disponibilitatea de a se vaccina, echipele mobile de vaccinare asigură vaccinarea în condiții sigure a ,,lanțului frig”. În cazul campaniilor de vaccinare a populației, în situații de risc epidemiologic, pentru sporirea accesabilității, vaccinarea poate fi organizată în locuri publice special amenajate, cu respectarea condițiilor de siguranță și lanț frig.</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Guvernul finanțează integral procurarea vaccinurilor și consumabilelor, precum și a serviciilor oferite în cadrul Programului, iar implementarea acestora se realizează de către sistemul de sănătate, cu implicarea </w:t>
      </w:r>
      <w:bookmarkStart w:id="3" w:name="_Hlk128748209"/>
      <w:r w:rsidRPr="00010A67">
        <w:rPr>
          <w:rFonts w:ascii="Times New Roman" w:hAnsi="Times New Roman"/>
          <w:sz w:val="24"/>
          <w:szCs w:val="24"/>
        </w:rPr>
        <w:t xml:space="preserve">autorităților administrației publice centrale și locale, </w:t>
      </w:r>
      <w:bookmarkEnd w:id="3"/>
      <w:r w:rsidRPr="00010A67">
        <w:rPr>
          <w:rFonts w:ascii="Times New Roman" w:hAnsi="Times New Roman"/>
          <w:sz w:val="24"/>
          <w:szCs w:val="24"/>
        </w:rPr>
        <w:t xml:space="preserve">a societății în întregime și a fiecărui individ în parte. În perioada anilor 2016-2021, procurarea și livrarea vaccinurilor a fost realizată conform planului și nu au fost înregistrate întreruperi în lanțul de aprovizionare a vaccinurilor și a consumabilelor. Angajamentul Guvernului de a oferi finanțare Programului reflectă recunoașterea acestuia ca program prioritar de sănătate publică în Republica Moldova. Asigurarea sustenabilității financiare a programului de vaccinare scade considerabil riscurile de deficit de vaccinuri și este esențială pentru a combate reticența față de vaccinare și impactul acesteia asupra programului de imunizare. </w:t>
      </w:r>
    </w:p>
    <w:p w:rsidR="00010A67" w:rsidRPr="00010A67" w:rsidRDefault="00010A67" w:rsidP="004906BC">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Fiind preparate biologice active, vaccinurile necesită condiții de păstrare și transportare la temperaturi speciale, care sunt asigurate de un sistem format din personal instruit și echipamente speciale, denumit ,,lanțul frig”. Pentru o bună desfășurare a activităților din domeniul imunizărilor sunt necesare următoarele resurse:</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 xml:space="preserve">1) vaccinuri și consumabile; </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2) echipament frigorific;</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3) echipamente de monitorizare a temperaturii ,,lanțului frig”;</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 xml:space="preserve">4)formulare statistice și resurse pentru managementul deșeurilor rezultate în urma imunizării.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Aprovizionarea cu vaccinuri se face de la nivelul național de către Agenția Națională pentru Sănătate Publică și de către subdiviziunile teritoriale ale acesteia, astfel că centrele de sănătate publică recepționează vaccinurile trimestrial, iar instituțiile medico-sanitare – lunar. Aprovizionarea de la nivelul național se face cu autorefrigeratorul care este dotat cu sistem de monitorizare electronică a temperaturii, astfel fiind asigurată temperatura necesară pentru menținerea ,,lanțului frig”, și anume de +2 +8 grade Celsius. De la nivelul municipal sau raional către cel local vaccinul se distribuie în termocontainere cu pungi reci și indicatori de monitorizare a temperaturii.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Pentru asigurarea calității vaccinurilor sunt necesare condiții izotermice de stocare și monitorizare a ,,lanțului frig”. Frigiderele în care se păstrează vaccinurile se recomandă a fi cu brâu de gheață (ice-line) și precalificate de către OMS. O aprovizionare adecvată cu frigidere, congelatoare,  echipamente de monitorizare a temperaturii, termocontainer de la nivelul național sau local este necesară pentru a evita pierderi de vaccin care pot fi expuse înghețului sau căldurii. Mentenanța echipamentelor frigorifice trebuie efectuată regulat de către fiecare instituție în </w:t>
      </w:r>
      <w:r w:rsidRPr="00010A67">
        <w:rPr>
          <w:rFonts w:ascii="Times New Roman" w:hAnsi="Times New Roman"/>
          <w:sz w:val="24"/>
          <w:szCs w:val="24"/>
        </w:rPr>
        <w:lastRenderedPageBreak/>
        <w:t>parte.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Accesul universal la vaccinare în Republica Moldova este asigurat prin intermediul a 1 158 de instituții care prestează servicii de imunizare. Chiar dacă avem o rețea destul de complexă cu accesibilitate înaltă, acoperirea vaccinală rămâne a fi sub nivelul optim (95%) pentru majoritatea indicatorilor la vârsta</w:t>
      </w:r>
      <w:r w:rsidRPr="00010A67">
        <w:rPr>
          <w:rFonts w:ascii="Times New Roman" w:hAnsi="Times New Roman"/>
          <w:sz w:val="24"/>
          <w:szCs w:val="24"/>
        </w:rPr>
        <w:noBreakHyphen/>
        <w:t xml:space="preserve">țintă. Acceptarea cu întârziere sau refuzarea vaccinurilor în pofida disponibilității acestora necesită o nouă abordare și impune luarea de măsuri politice și în domeniul sănătății publice.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Autoritățile administrației publice centrale și locale în comun cu alte instituții și organizații trebuie să realizeze intervenții axate pe îmbunătățirea dialogului cu beneficiarii vaccinărilor și înțelegerea îngrijorărilor acestora legate de vaccinare, campanii de informare pentru creșterea nivelului de încredere a populației în vaccinuri, astfel crescând și cererea pentru imunizare.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Lucrătorii medicali sunt deosebit de importanți în realizarea programelor de imunizare, fiind și sursa de informații cea mai credibilă pentru pacienți. Lacunele din cadrul asigurării cu resurse umane a sistemului de sănătate, migrația externă și internă a personalului cauzează decalaje în rețeaua de asistență medicală, care afectează performanța programului național de imunizări. Drept urmare, Republica Moldova se confruntă cu o carență de profesioniști la Agenția Națională pentru Sănătate Publică, precum și în instituțiile medicale, astfel fiind necesare intervenții sustenabile pentru a atrage specialiști tineri și calificați, inclusiv în domeniul imunizării.</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în special a epidemiologilor, medicilor de familie și asistenților medicali, este insuficientă pentru mai multe componente ale programului național de imunizări, inclusiv modul de comunicare eficientă cu părinții. Astfel, programele de instruire în materie de vaccinare reprezintă o prioritate pentru formarea unui specialist cu un nivel înalt de cunoștințe și abilități practice în consilierea populației în ceea ce privește necesitatea vaccinării și realizarea imunizărilor cu eficacitate.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Supravegherea epidemiologică a bolilor transmisibile se bazează, în primul rând, pe un sistem de supraveghere pasiv național, cu un cadru legislativ și de reglementare clar și cuprinzător. Adițional sunt implementate sistemele de supraveghere sentinelă (infecție rotavirală, gripă), sindromică (paralizie acută flască, rujeolă și rubeolă) și de mediu (poliovirus).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Sistemul de supraveghere are un sistem de clasificare a cazurilor care este coerent cu cerințele de raportare ale OMS și UE și aplicat cazurilor raportate de la nivel local. Un sistem informațional de supraveghere epidemiologică a bolilor transmisibile și evenimentelor de sănătate publică a fost instituit în anul 2022  și urmează să fie implementat la nivel național.</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studiilor de serosupraveghere a bolilor ce pot fi prevenite prin imunizări sunt cele mai informative în demonstrarea păturii imune reale la nivel de populație, furnizând date valoroase privind impactul vaccinării. În anul 2020 a fost efectuat un studiu de serosupraveghere a impactului vaccinării împotriva hepatitei virale B a copiilor născuți în 2013 din Republica Moldova. În urma analizei datelor a fost obținut un rezultat de seroprevalență a HBsAg de 0,21% (IC 95%=0,08–0,53%), indicatorul global al OMS pentru eliminarea hepatitei virale B fiind de ≤0,5% din prevalența antigenului de suprafață al hepatitei B (HBsAg) în cohortele vaccinate. Acest studiu documentează impactul eficacității vaccinării asupra reducerii transmiterii hepatitei virale B și atingerea țintei de eliminare stabilite de către OMS. Sunt recomandate studii de serosupraveghere pentru alte maladii ce pot fi prevenite prin vaccinare cu scopul de a crește calitatea datelor de supraveghere și luarea deciziilor bazate pe dovezi.</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Organizarea și efectuarea cercetărilor de impact a bolilor prevenibile prin vaccinare și a studiilor de cost-eficiență în urma implementării vaccinării aduc rezultate și argumente ce stau la baza implementării noilor vaccinuri sau optimizarea programelor de imunizare. În anul 2017, în Republica Moldova a fost elaborat studiul de cost-eficacitate a vaccinării împotriva </w:t>
      </w:r>
      <w:r w:rsidRPr="00010A67">
        <w:rPr>
          <w:rFonts w:ascii="Times New Roman" w:hAnsi="Times New Roman"/>
          <w:sz w:val="24"/>
          <w:szCs w:val="24"/>
        </w:rPr>
        <w:lastRenderedPageBreak/>
        <w:t>infecției cu papilomavirusul uman (HPV) utilizând instrumentul OMS. Pe baza datelor disponibile privind incidența cancerului de col uterin, mortalitatea generală, costurile de tratament pentru cazurile de cancer de col uterin, precum și costurile pentru introducerea vaccinului HPV s-a prevăzut că introducerea vaccinului la o cohortă de vârstă a fetelor de 12 ani ar evita anual 127 de cazuri de cancer de col uterin și ar preveni 98 de decese din cauza cancerului de col uterin. Costurile de tratament economisite anual datorită vaccinării împotriva papilomavirusului uman (HPV) și evitării  cazurilor de cancer de col uterin au fost estimate la 263.965 dolari SUA.</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Cancerul de col uterin (CCU) prezintă o problemă majoră de sănătate publică și în Republica Moldova. Circa 80% din cazurile de CCU sunt provocate de tipurile oncogene 16 și 18 de papilomavirus uman. În Republica Moldova CCU ocupă locul trei în patologia cancerului la femei. Anual în țară se înregistrează circa 400 de cazuri noi de CCU și, în medie, în fiecare zi este diagnosticat un caz nou de cancer de col uterin, iar la fiecare două zile o femeie decedează din această cauză. Primii pași în inițierea vaccinării anti-HPV a fost efectuată în anul 2010, când țara a beneficiat de un lot de vaccin împotriva HPV în cantitate de 20.790 de doze pentru 6.930 de fete, ceea ce a reprezentat 2,5% din grupul țintă de fete cu vârsta cuprinsă între 10 și 18 ani și nu a fost înregistrat nici un eveniment advers postimunizare. Vaccinarea contra papilomavirusului uman a fost implementată în Republica Moldova în anul 2017 pentru fetițe cu vârsta de 9-14 ani, până la momentul de față peste 50.000 de fetițe din acest grup au beneficiat de vaccin și s-a înregistrat doar un eveniment advers postimunizare,  ceea ce înseamnă că vaccinurile anti-HPV sunt sigure. Începând cu anul 2021, în Republica Moldova a fost implementată și vaccinarea băieților cu vârsta de 9-14 ani, recomandarea implementării a fost susținută și de membrii Comitetului național de experți în domeniul imunizării.</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Pandemia COVID-19 a demonstrat necesitatea datelor în timp real, iar în acest sens a fost dezvoltat Sistemului informațional automatizat „Registrul de evidență a vaccinării împotriva COVID-19” (SIA RVC-19), modul integrat ulterior în Sistemul informațional de supraveghere a bolilor transmisibile și evenimentelor de sănătate publică. Sistemul permite monitorizarea procesului cu date de calitate înaltă pentru optimizarea procesului de imunizare. În același timp, toți cetățenii pot descărca certificatul de vaccinare în regim online oriunde s-ar afla. Sistemele informaționale sunt indispensabile, iar la momentul actual se dovedesc a fi un instrument de bază pentru lucrătorii medicali, precum și pentru autorități. Elaborarea sistemelor informaționale în domeniul imunizării integrate în sistemele naționale existente cu asigurarea interoperabilității este o prioritate a programului în digitalizarea datelor și sporirea eficienței. Mentenanța și optimizarea continuă a acestora pentru necesitatea lucrătorilor medicali și a cetățenilor trebuie inclusă în planurile de acțiune ale agențiilor și ale instituțiilor din domeniul sănătății și tehnologiilor informaționale.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perioada anilor 2016-2021 au fost efectuate vizite de supervizare și suport în cadrul Programului național de imunizări. Vizitele specialiștilor internaționali, naționali și regionali au fost efectuate în toate teritoriile administrative ale țării și randomizat în instituțiile arondate. Datorită suportului specialiștilor acordat direct lucrătorilor medicali aceștia au contribuit la creșterea calității livrării serviciilor de imunizare. Dezvoltarea unui program anual de supervizare și suport în domeniul imunizărilor va  spori semnificativ rezultatele Programului și va duce la  atingerea obiectivelor generale și specifice ale acestuia.</w:t>
      </w:r>
    </w:p>
    <w:p w:rsidR="00010A67" w:rsidRPr="00010A67" w:rsidRDefault="00010A67" w:rsidP="00010A67">
      <w:pPr>
        <w:tabs>
          <w:tab w:val="left" w:pos="1134"/>
        </w:tabs>
        <w:rPr>
          <w:rFonts w:ascii="Times New Roman" w:hAnsi="Times New Roman"/>
          <w:sz w:val="24"/>
          <w:szCs w:val="24"/>
        </w:rPr>
      </w:pPr>
      <w:bookmarkStart w:id="4" w:name="_Hlk130839464"/>
      <w:r w:rsidRPr="00010A67">
        <w:rPr>
          <w:rFonts w:ascii="Times New Roman" w:hAnsi="Times New Roman"/>
          <w:b/>
          <w:sz w:val="24"/>
          <w:szCs w:val="24"/>
        </w:rPr>
        <w:t>III. OBIECTIVUL GENERAL AL PROGRAMULUI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Obiectivul general al Programului este reducerea poverii bolilor transmisibile  prin susținerea unor rate de vaccinare înalte și asigurarea accesului universal și echitabil la servicii de imunizare pentru toate categoriile de vârstă și de populație.</w:t>
      </w: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IV. OBIECTIVE SPECIFICE</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Pentru realizarea obiectivului general sunt stabilite obiectivele specifice ale Programului.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Obiectivul specific 1.</w:t>
      </w:r>
      <w:r w:rsidRPr="00010A67">
        <w:rPr>
          <w:rFonts w:ascii="Times New Roman" w:hAnsi="Times New Roman"/>
          <w:sz w:val="24"/>
          <w:szCs w:val="24"/>
        </w:rPr>
        <w:t xml:space="preserve"> Atingerea unei acoperiri vaccinale înalte de cel puțin 95% cu vaccinurile de rutină la nivel național și teritorial până în anul 2027.</w:t>
      </w:r>
    </w:p>
    <w:p w:rsidR="00612D78" w:rsidRDefault="00612D78" w:rsidP="00010A67">
      <w:pPr>
        <w:tabs>
          <w:tab w:val="left" w:pos="1134"/>
        </w:tabs>
        <w:rPr>
          <w:rFonts w:ascii="Times New Roman" w:hAnsi="Times New Roman"/>
          <w:b/>
          <w:sz w:val="24"/>
          <w:szCs w:val="24"/>
          <w:lang w:eastAsia="zh-CN"/>
        </w:rPr>
      </w:pPr>
    </w:p>
    <w:p w:rsidR="00010A67" w:rsidRPr="00010A67" w:rsidRDefault="00010A67" w:rsidP="00612D78">
      <w:pPr>
        <w:tabs>
          <w:tab w:val="left" w:pos="1134"/>
        </w:tabs>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1.1. Elaborarea de strategii robuste și inovative pentru a combate dezinformarea despre vaccinuri și a contracara propagarea mesajelor antivaccinare și impactul negativ al acestora.</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1.2. Implementarea activităților de comunicare privind schimbarea comportamentală și asigurarea unui mediu care să faciliteze populația și comunitățile să valorifice și să susțină activ procesul de imunizare.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1.3. Creșterea acoperirii vaccinale în rândul celor mai dezavantajate grupuri de populație, inclusiv cu asigurarea serviciilor de imunizare gratuită a migranților și refugiaților.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1.4. Evaluarea calității datelor privind imunizările prin efectuarea managementului vaccinurilor prin fortificarea capacităților coordonatorilor programelor de imunizare.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1.5. Crearea unei platforme intersectoriale de promotori sociali ai vaccinării, inclusiv prin consolidarea parteneriatelor cu sectorul educației, cu partenerii sociali, cu implicarea comunităților și liderilor de opinie.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1.6. Crearea parteneriatelor la nivel local pentru promovarea beneficiilor imunizărilor.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1.7. Includerea subiectului conștientizării și promovării importanței imunizărilor în curricula școlar și universitar.</w:t>
      </w:r>
    </w:p>
    <w:p w:rsidR="00010A67" w:rsidRPr="00010A67" w:rsidRDefault="00010A67" w:rsidP="00612D78">
      <w:pPr>
        <w:numPr>
          <w:ilvl w:val="1"/>
          <w:numId w:val="15"/>
        </w:numPr>
        <w:tabs>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Obiectivul specific 2</w:t>
      </w:r>
      <w:r w:rsidRPr="00010A67">
        <w:rPr>
          <w:rFonts w:ascii="Times New Roman" w:hAnsi="Times New Roman"/>
          <w:sz w:val="24"/>
          <w:szCs w:val="24"/>
        </w:rPr>
        <w:t xml:space="preserve">. Creșterea accesului la vaccinuri sigure și eficiente a populației pe tot parcursul vieții, indiferent de locația lor geografică, vârstă, gen, statut economic, etnie, religie sau alte obstacole privind oportunitatea lor de a se bucura de beneficiile depline ale vaccinării. </w:t>
      </w:r>
    </w:p>
    <w:p w:rsidR="00010A67" w:rsidRPr="00010A67" w:rsidRDefault="00010A67" w:rsidP="00612D78">
      <w:pPr>
        <w:tabs>
          <w:tab w:val="left" w:pos="284"/>
          <w:tab w:val="left" w:pos="426"/>
          <w:tab w:val="left" w:pos="1134"/>
        </w:tabs>
        <w:jc w:val="both"/>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2.1. Asigurarea accesului universal la serviciile de imunizare prin intermediul centrelor de vaccinare, echipelor mobile de vaccinare sau desfășurarea centrelor temporare de vaccinare pentru a asigura vaccinarea primară, revaccinarea sau vaccinarea întârziată.</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2.2. Achiziționarea și disponibilitatea neîntreruptă a vaccinurilor și a consumabilelor.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2.3. Mentenanța echipamentului ,,lanțului frig” și monitorizarea neîntreruptă a condițiilor de temperatură în toate etapele de transportare și de păstrare a vaccinurilor până la beneficiar.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2.4. Stabilirea mecanismelor inovative de invitare a copiilor sau a adulților la vaccinare cu efectuarea invitării repetate în cazul neprezentării la programare.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2.5. Identificarea soluțiilor și oportunităților pentru implementarea vaccinurilor noi cu scopul de a extinde programul de imunizări și a diminua povara bolilor infecțioase.</w:t>
      </w:r>
    </w:p>
    <w:p w:rsidR="00010A67" w:rsidRPr="00010A67" w:rsidRDefault="00010A67" w:rsidP="00612D78">
      <w:pPr>
        <w:numPr>
          <w:ilvl w:val="1"/>
          <w:numId w:val="15"/>
        </w:numPr>
        <w:tabs>
          <w:tab w:val="left" w:pos="426"/>
          <w:tab w:val="left" w:pos="1134"/>
        </w:tabs>
        <w:ind w:left="0" w:firstLine="709"/>
        <w:jc w:val="both"/>
        <w:rPr>
          <w:rFonts w:ascii="Times New Roman" w:hAnsi="Times New Roman"/>
          <w:b/>
          <w:sz w:val="24"/>
          <w:szCs w:val="24"/>
        </w:rPr>
      </w:pPr>
      <w:r w:rsidRPr="00010A67">
        <w:rPr>
          <w:rFonts w:ascii="Times New Roman" w:hAnsi="Times New Roman"/>
          <w:b/>
          <w:sz w:val="24"/>
          <w:szCs w:val="24"/>
        </w:rPr>
        <w:t>Obiectivul specific 3</w:t>
      </w:r>
      <w:r w:rsidRPr="00010A67">
        <w:rPr>
          <w:rFonts w:ascii="Times New Roman" w:hAnsi="Times New Roman"/>
          <w:sz w:val="24"/>
          <w:szCs w:val="24"/>
        </w:rPr>
        <w:t>. Asigurarea cu resurse umane instruite în domeniul imunizării în scopul creșterii siguranței și calității serviciilor de imunizare.</w:t>
      </w:r>
    </w:p>
    <w:p w:rsidR="00010A67" w:rsidRPr="00010A67" w:rsidRDefault="00010A67" w:rsidP="00612D78">
      <w:pPr>
        <w:tabs>
          <w:tab w:val="left" w:pos="426"/>
          <w:tab w:val="left" w:pos="1134"/>
        </w:tabs>
        <w:jc w:val="both"/>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b/>
          <w:sz w:val="24"/>
          <w:szCs w:val="24"/>
        </w:rPr>
      </w:pPr>
      <w:r w:rsidRPr="00010A67">
        <w:rPr>
          <w:rFonts w:ascii="Times New Roman" w:hAnsi="Times New Roman"/>
          <w:sz w:val="24"/>
          <w:szCs w:val="24"/>
        </w:rPr>
        <w:t xml:space="preserve">3.1. Asigurarea cu cadre medicale instruite în domeniul imunizărilor, prin campanii de motivare în scopul angajării și menținerii acestora în cadrul Programului. </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3.2. Consolidarea capacităților lucrătorilor medicali privind planificarea, gestionarea, implementarea și monitorizarea performanței programelor de imunizare la toate nivelele și în toate instituțiile implicate în Program.</w:t>
      </w:r>
    </w:p>
    <w:p w:rsidR="00010A67" w:rsidRPr="00010A67" w:rsidRDefault="00010A67" w:rsidP="00612D78">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 xml:space="preserve">Obiectivul specific 4. </w:t>
      </w:r>
      <w:r w:rsidRPr="00010A67">
        <w:rPr>
          <w:rFonts w:ascii="Times New Roman" w:hAnsi="Times New Roman"/>
          <w:sz w:val="24"/>
          <w:szCs w:val="24"/>
        </w:rPr>
        <w:t xml:space="preserve">Consolidarea sistemului național de supraveghere a bolilor prevenibile prin vaccinare, cu fortificarea capacităților de cercetare și inovare în domeniul imunizărilor. </w:t>
      </w:r>
    </w:p>
    <w:p w:rsidR="00010A67" w:rsidRPr="00010A67" w:rsidRDefault="00010A67" w:rsidP="00612D78">
      <w:pPr>
        <w:tabs>
          <w:tab w:val="left" w:pos="1134"/>
        </w:tabs>
        <w:jc w:val="both"/>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lastRenderedPageBreak/>
        <w:t>4.1. Instruirea lucrătorilor medicali privind prevenirea, controlul și răspunsul prompt la izbucniri prin maladii infecțioase prevenibile prin vaccinare.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4.2. Elaborarea proiectelor de cercetare privind noile abordări în introducerea vaccinurilor, optimizarea programelor de imunizare, măsurarea impactului vaccinurilor, monitorizarea controlului, eliminării și eradicării bolilor.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4.3. Realizarea analizelor epidemiologice în suportul implementării Programului.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4.4. Ajustarea și implementarea mecanismelor inovative la nivel național și subnațional în  răspunsul la izbucniri prin boli prevenibile prin vaccinare.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4.5 Organizarea și efectuarea studiilor de serosupraveghere pentru determinarea păturii imune și a impactului vaccinării.</w:t>
      </w:r>
    </w:p>
    <w:p w:rsidR="00010A67" w:rsidRPr="00010A67" w:rsidRDefault="00010A67" w:rsidP="00612D78">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 xml:space="preserve"> Obiectivul specific 5</w:t>
      </w:r>
      <w:r w:rsidRPr="00010A67">
        <w:rPr>
          <w:rFonts w:ascii="Times New Roman" w:hAnsi="Times New Roman"/>
          <w:sz w:val="24"/>
          <w:szCs w:val="24"/>
        </w:rPr>
        <w:t>. Fortificarea capacităților de monitorizare și coordonare a procesului de imunizare  în timp real și util la toate nivelurile.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b/>
          <w:sz w:val="24"/>
          <w:szCs w:val="24"/>
        </w:rPr>
        <w:t>Acțiuni</w:t>
      </w:r>
      <w:r w:rsidRPr="00010A67">
        <w:rPr>
          <w:rFonts w:ascii="Times New Roman" w:hAnsi="Times New Roman"/>
          <w:sz w:val="24"/>
          <w:szCs w:val="24"/>
        </w:rPr>
        <w:t>:</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5</w:t>
      </w:r>
      <w:r w:rsidRPr="00010A67">
        <w:rPr>
          <w:rFonts w:ascii="Times New Roman" w:hAnsi="Times New Roman"/>
          <w:b/>
          <w:sz w:val="24"/>
          <w:szCs w:val="24"/>
        </w:rPr>
        <w:t>.</w:t>
      </w:r>
      <w:r w:rsidRPr="00010A67">
        <w:rPr>
          <w:rFonts w:ascii="Times New Roman" w:hAnsi="Times New Roman"/>
          <w:sz w:val="24"/>
          <w:szCs w:val="24"/>
        </w:rPr>
        <w:t>1. Creșterea capacităților sistemului de management, coordonare și administrare pentru gestionarea eficientă a programului național de imunizări.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5.2. Dezvoltarea și implementarea sistemelor informaționale electronice în domeniul imunizării, cu asigurarea mentenanței și integrarea acestuia în sistemele informaționale existente.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5.3 Elaborarea și implementarea programelor de supervizare și suport în domeniul imunizărilor pentru eficientizarea și optimizarea acțiunilor din cadrul Programului.</w:t>
      </w:r>
      <w:bookmarkEnd w:id="4"/>
    </w:p>
    <w:p w:rsidR="00010A67" w:rsidRPr="00010A67" w:rsidRDefault="00010A67" w:rsidP="00010A67">
      <w:pPr>
        <w:tabs>
          <w:tab w:val="left" w:pos="1134"/>
        </w:tabs>
        <w:rPr>
          <w:rFonts w:ascii="Times New Roman" w:hAnsi="Times New Roman"/>
          <w:sz w:val="24"/>
          <w:szCs w:val="24"/>
        </w:rPr>
      </w:pPr>
      <w:r w:rsidRPr="00010A67">
        <w:rPr>
          <w:rFonts w:ascii="Times New Roman" w:hAnsi="Times New Roman"/>
          <w:b/>
          <w:sz w:val="24"/>
          <w:szCs w:val="24"/>
        </w:rPr>
        <w:t>V. IMPACT</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Programul reprezintă o viziune pe termen de 5 ani, care tinde spre menținerea și îmbunătățirea situației epidemiologice favorabile, prin bolile infecțioase prevenibile prin vaccinări.</w:t>
      </w:r>
    </w:p>
    <w:p w:rsidR="00010A67" w:rsidRPr="00010A67" w:rsidRDefault="00010A67" w:rsidP="00010A67">
      <w:pPr>
        <w:numPr>
          <w:ilvl w:val="1"/>
          <w:numId w:val="15"/>
        </w:numPr>
        <w:tabs>
          <w:tab w:val="left" w:pos="567"/>
          <w:tab w:val="left" w:pos="1134"/>
        </w:tabs>
        <w:ind w:left="0" w:firstLine="709"/>
        <w:jc w:val="both"/>
        <w:rPr>
          <w:rFonts w:ascii="Times New Roman" w:hAnsi="Times New Roman"/>
          <w:sz w:val="24"/>
          <w:szCs w:val="24"/>
        </w:rPr>
      </w:pPr>
      <w:r w:rsidRPr="00010A67">
        <w:rPr>
          <w:rFonts w:ascii="Times New Roman" w:hAnsi="Times New Roman"/>
          <w:sz w:val="24"/>
          <w:szCs w:val="24"/>
        </w:rPr>
        <w:t>Accesul universal la vaccinuri gratuite, garantate de stat, cu acoperire vaccinală a cel puțin 95% din populație din vârstele țintă la nivel național, vaccinarea tuturor persoanelor care nu au contraindicații medicale şi contingentelor de risc, realizarea acțiunilor de susținere financiară, materială și operaționale, prevăzute în Program, vor asigura:</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menținerea statutului Republicii Moldova ca țară liberă de poliomielită și contribuția  țării la eradicarea globală a poliomielitei; </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eliminarea durabilă a cazurilor indigene de rujeolă, rubeolă, rubeolă congenitală, difterie;</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menținerea la nivel de unități a cazurilor de tetanos în rândul populației generale și de tuberculoză generalizată la copii;</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 menținerea incidenței prin hepatita virală B în rândul populației generale sub un caz la 100 mii populație, printre  copii – sub 0,5 cazuri la 100 mii;</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reducerea incidenței prin tuse convulsivă și prin oreion – sub 2 cazuri la 100 mii populație;</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reducerea morbidității și mortalității prin infecția cu rotavirusuri, meningite septice și pneumonii, cauzate de </w:t>
      </w:r>
      <w:sdt>
        <w:sdtPr>
          <w:rPr>
            <w:rFonts w:ascii="Times New Roman" w:hAnsi="Times New Roman"/>
            <w:sz w:val="24"/>
            <w:szCs w:val="24"/>
          </w:rPr>
          <w:tag w:val="goog_rdk_45"/>
          <w:id w:val="-1871290773"/>
        </w:sdtPr>
        <w:sdtEndPr/>
        <w:sdtContent>
          <w:r w:rsidRPr="00010A67">
            <w:rPr>
              <w:rFonts w:ascii="Times New Roman" w:hAnsi="Times New Roman"/>
              <w:sz w:val="24"/>
              <w:szCs w:val="24"/>
            </w:rPr>
            <w:t>infecțiile</w:t>
          </w:r>
        </w:sdtContent>
      </w:sdt>
      <w:r w:rsidRPr="00010A67">
        <w:rPr>
          <w:rFonts w:ascii="Times New Roman" w:hAnsi="Times New Roman"/>
          <w:sz w:val="24"/>
          <w:szCs w:val="24"/>
        </w:rPr>
        <w:t xml:space="preserve"> cu</w:t>
      </w:r>
      <w:r w:rsidRPr="00010A67">
        <w:rPr>
          <w:rFonts w:ascii="Times New Roman" w:hAnsi="Times New Roman"/>
          <w:i/>
          <w:sz w:val="24"/>
          <w:szCs w:val="24"/>
        </w:rPr>
        <w:t xml:space="preserve"> Haemophilus influenzae </w:t>
      </w:r>
      <w:r w:rsidRPr="00010A67">
        <w:rPr>
          <w:rFonts w:ascii="Times New Roman" w:hAnsi="Times New Roman"/>
          <w:sz w:val="24"/>
          <w:szCs w:val="24"/>
        </w:rPr>
        <w:t>tip b şi</w:t>
      </w:r>
      <w:r w:rsidRPr="00010A67">
        <w:rPr>
          <w:rFonts w:ascii="Times New Roman" w:hAnsi="Times New Roman"/>
          <w:i/>
          <w:sz w:val="24"/>
          <w:szCs w:val="24"/>
        </w:rPr>
        <w:t xml:space="preserve"> Streptococcus pneumoniae</w:t>
      </w:r>
      <w:r w:rsidRPr="00010A67">
        <w:rPr>
          <w:rFonts w:ascii="Times New Roman" w:hAnsi="Times New Roman"/>
          <w:sz w:val="24"/>
          <w:szCs w:val="24"/>
        </w:rPr>
        <w:t xml:space="preserve"> la copii cu </w:t>
      </w:r>
      <w:sdt>
        <w:sdtPr>
          <w:rPr>
            <w:rFonts w:ascii="Times New Roman" w:hAnsi="Times New Roman"/>
            <w:sz w:val="24"/>
            <w:szCs w:val="24"/>
          </w:rPr>
          <w:tag w:val="goog_rdk_47"/>
          <w:id w:val="993521820"/>
        </w:sdtPr>
        <w:sdtEndPr/>
        <w:sdtContent>
          <w:r w:rsidRPr="00010A67">
            <w:rPr>
              <w:rFonts w:ascii="Times New Roman" w:hAnsi="Times New Roman"/>
              <w:sz w:val="24"/>
              <w:szCs w:val="24"/>
            </w:rPr>
            <w:t>vârsta</w:t>
          </w:r>
        </w:sdtContent>
      </w:sdt>
      <w:r w:rsidRPr="00010A67">
        <w:rPr>
          <w:rFonts w:ascii="Times New Roman" w:hAnsi="Times New Roman"/>
          <w:sz w:val="24"/>
          <w:szCs w:val="24"/>
        </w:rPr>
        <w:t xml:space="preserve"> sub 5 ani.</w:t>
      </w:r>
    </w:p>
    <w:p w:rsidR="00010A67" w:rsidRPr="00010A67" w:rsidRDefault="00010A67" w:rsidP="00010A67">
      <w:pPr>
        <w:tabs>
          <w:tab w:val="left" w:pos="1134"/>
        </w:tabs>
        <w:rPr>
          <w:rFonts w:ascii="Times New Roman" w:hAnsi="Times New Roman"/>
          <w:sz w:val="24"/>
          <w:szCs w:val="24"/>
        </w:rPr>
      </w:pPr>
      <w:r w:rsidRPr="00010A67">
        <w:rPr>
          <w:rFonts w:ascii="Times New Roman" w:hAnsi="Times New Roman"/>
          <w:b/>
          <w:sz w:val="24"/>
          <w:szCs w:val="24"/>
        </w:rPr>
        <w:t>VI. COSTURI</w:t>
      </w:r>
      <w:sdt>
        <w:sdtPr>
          <w:rPr>
            <w:rFonts w:ascii="Times New Roman" w:hAnsi="Times New Roman"/>
            <w:sz w:val="24"/>
            <w:szCs w:val="24"/>
          </w:rPr>
          <w:tag w:val="goog_rdk_48"/>
          <w:id w:val="207539600"/>
        </w:sdtPr>
        <w:sdtEndPr/>
        <w:sdtContent>
          <w:r w:rsidRPr="00010A67">
            <w:rPr>
              <w:rFonts w:ascii="Times New Roman" w:hAnsi="Times New Roman"/>
              <w:b/>
              <w:sz w:val="24"/>
              <w:szCs w:val="24"/>
            </w:rPr>
            <w:t xml:space="preserve"> DE IMPLEMENTARE</w:t>
          </w:r>
        </w:sdtContent>
      </w:sdt>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Estimarea generală a costurilor pentru implementarea și realizarea prezentului Program a fost efectuată în baza priorităților și activităților identificate, a directivelor și instrumentelor disponibile în experiența națională și internațională și în baza determinării costului per serviciu, </w:t>
      </w:r>
      <w:r w:rsidRPr="00010A67">
        <w:rPr>
          <w:rFonts w:ascii="Times New Roman" w:hAnsi="Times New Roman"/>
          <w:i/>
          <w:sz w:val="24"/>
          <w:szCs w:val="24"/>
        </w:rPr>
        <w:t>per capita</w:t>
      </w:r>
      <w:r w:rsidRPr="00010A67">
        <w:rPr>
          <w:rFonts w:ascii="Times New Roman" w:hAnsi="Times New Roman"/>
          <w:sz w:val="24"/>
          <w:szCs w:val="24"/>
        </w:rPr>
        <w:t xml:space="preserve"> sau buget global, după caz. Realizarea prevederilor Programului se va efectua din contul mijloacelor financiare prevăzute în bugetul public național pentru anul respectiv, precum și din alte surse conform legislației. Mijloacele financiare ale instituției medico-sanitare publice provin din fondurile asigurărilor obligatorii de asistență medicală (în bază de contract de asistență medicală încheiat cu Compania Națională de Asigurări în Medicină </w:t>
      </w:r>
      <w:r w:rsidRPr="00010A67">
        <w:rPr>
          <w:rFonts w:ascii="Times New Roman" w:hAnsi="Times New Roman"/>
          <w:sz w:val="24"/>
          <w:szCs w:val="24"/>
        </w:rPr>
        <w:lastRenderedPageBreak/>
        <w:t xml:space="preserve">sau cu agențiile ei teritoriale), din sursele bugetare, din serviciile prestate contra plată, din donații, granturi și sponsorizări, din alte surse financiare permise de legislație. </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Costul estimativ al prezentului Program Național de Imunizări pentru anii 2023-2027 este de 295,444,975.86 lei, dintre care – 159,695,104.86 lei sunt din bugetul de stat, 115,934,391.00 lei sunt din bugetul Fondului asigurărilor obligatorii de asistență medicală (FAOAM), iar 19,815,480.00 lei sunt bani alocați din contul partenerilor de dezvoltare. Tabelele atașate cuprind costul estimat pentru fiecare an de implementare, în funcție de categorie, sursă de finanțare și valorile cumulative ale costurilor preconizate cu activitățile Programului.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Costul estimativ va servi drept argument și instrument pentru accesarea fondurilor atât naționale, cât și internaționale și va fi ajustat pe perioada implementării prezentului Program, ținând cont de evoluția economiei naționale, a bugetelor disponibile la nivel național (bugetul de stat, bugetele locale și fondurile asigurării obligatorii de asistență medicală), de evoluția tehnologiilor și a politicilor naționale și internaționale privind imunizarea.</w:t>
      </w:r>
    </w:p>
    <w:p w:rsidR="00010A67" w:rsidRPr="00010A67" w:rsidRDefault="00010A67" w:rsidP="00010A67">
      <w:pPr>
        <w:tabs>
          <w:tab w:val="left" w:pos="1134"/>
          <w:tab w:val="left" w:pos="6386"/>
        </w:tabs>
        <w:rPr>
          <w:rFonts w:ascii="Times New Roman" w:hAnsi="Times New Roman"/>
          <w:b/>
          <w:sz w:val="24"/>
          <w:szCs w:val="24"/>
          <w:lang w:eastAsia="ru-RU"/>
        </w:rPr>
        <w:sectPr w:rsidR="00010A67" w:rsidRPr="00010A67">
          <w:headerReference w:type="default" r:id="rId11"/>
          <w:footerReference w:type="default" r:id="rId12"/>
          <w:headerReference w:type="first" r:id="rId13"/>
          <w:footerReference w:type="first" r:id="rId14"/>
          <w:pgSz w:w="11907" w:h="16840"/>
          <w:pgMar w:top="1134" w:right="964" w:bottom="1134" w:left="1814" w:header="1134" w:footer="851" w:gutter="0"/>
          <w:cols w:space="720"/>
          <w:titlePg/>
          <w:docGrid w:linePitch="272"/>
        </w:sectPr>
      </w:pPr>
    </w:p>
    <w:p w:rsidR="00612D78" w:rsidRDefault="00612D78" w:rsidP="00010A67">
      <w:pPr>
        <w:spacing w:line="259" w:lineRule="auto"/>
        <w:ind w:firstLine="360"/>
        <w:rPr>
          <w:rFonts w:ascii="Times New Roman" w:hAnsi="Times New Roman"/>
          <w:b/>
          <w:sz w:val="24"/>
          <w:szCs w:val="24"/>
        </w:rPr>
      </w:pPr>
    </w:p>
    <w:p w:rsidR="00010A67" w:rsidRPr="00612D78" w:rsidRDefault="00010A67" w:rsidP="00010A67">
      <w:pPr>
        <w:spacing w:line="259" w:lineRule="auto"/>
        <w:ind w:firstLine="360"/>
        <w:rPr>
          <w:rFonts w:ascii="Times New Roman" w:hAnsi="Times New Roman"/>
          <w:b/>
          <w:sz w:val="24"/>
          <w:szCs w:val="24"/>
        </w:rPr>
      </w:pPr>
      <w:r w:rsidRPr="00612D78">
        <w:rPr>
          <w:rFonts w:ascii="Times New Roman" w:hAnsi="Times New Roman"/>
          <w:b/>
          <w:sz w:val="24"/>
          <w:szCs w:val="24"/>
        </w:rPr>
        <w:t>Costurile estimative pentru realizarea Programului național</w:t>
      </w:r>
    </w:p>
    <w:p w:rsidR="00010A67" w:rsidRPr="00612D78" w:rsidRDefault="00010A67" w:rsidP="00010A67">
      <w:pPr>
        <w:spacing w:line="259" w:lineRule="auto"/>
        <w:ind w:firstLine="360"/>
        <w:rPr>
          <w:rFonts w:ascii="Times New Roman" w:hAnsi="Times New Roman"/>
          <w:b/>
          <w:sz w:val="24"/>
          <w:szCs w:val="24"/>
        </w:rPr>
      </w:pPr>
      <w:r w:rsidRPr="00612D78">
        <w:rPr>
          <w:rFonts w:ascii="Times New Roman" w:hAnsi="Times New Roman"/>
          <w:b/>
          <w:sz w:val="24"/>
          <w:szCs w:val="24"/>
        </w:rPr>
        <w:t xml:space="preserve">de imunizări pentru anii 2023-2027, bugetul total, lei </w:t>
      </w:r>
    </w:p>
    <w:p w:rsidR="00010A67" w:rsidRPr="00612D78" w:rsidRDefault="00010A67" w:rsidP="00010A67">
      <w:pPr>
        <w:spacing w:line="259" w:lineRule="auto"/>
        <w:ind w:firstLine="360"/>
        <w:jc w:val="right"/>
        <w:rPr>
          <w:rFonts w:ascii="Times New Roman" w:hAnsi="Times New Roman"/>
          <w:b/>
          <w:bCs/>
          <w:sz w:val="24"/>
          <w:szCs w:val="24"/>
        </w:rPr>
      </w:pPr>
      <w:r w:rsidRPr="00612D78">
        <w:rPr>
          <w:rFonts w:ascii="Times New Roman" w:hAnsi="Times New Roman"/>
          <w:b/>
          <w:bCs/>
          <w:sz w:val="24"/>
          <w:szCs w:val="24"/>
        </w:rPr>
        <w:t>Tabelul 3</w:t>
      </w:r>
    </w:p>
    <w:tbl>
      <w:tblPr>
        <w:tblW w:w="5000" w:type="pct"/>
        <w:tblLook w:val="04A0" w:firstRow="1" w:lastRow="0" w:firstColumn="1" w:lastColumn="0" w:noHBand="0" w:noVBand="1"/>
      </w:tblPr>
      <w:tblGrid>
        <w:gridCol w:w="365"/>
        <w:gridCol w:w="1459"/>
        <w:gridCol w:w="795"/>
        <w:gridCol w:w="795"/>
        <w:gridCol w:w="795"/>
        <w:gridCol w:w="795"/>
        <w:gridCol w:w="795"/>
        <w:gridCol w:w="845"/>
        <w:gridCol w:w="845"/>
        <w:gridCol w:w="845"/>
        <w:gridCol w:w="795"/>
      </w:tblGrid>
      <w:tr w:rsidR="00010A67" w:rsidRPr="00612D78" w:rsidTr="00010A67">
        <w:trPr>
          <w:trHeight w:val="266"/>
        </w:trPr>
        <w:tc>
          <w:tcPr>
            <w:tcW w:w="157" w:type="pct"/>
            <w:vMerge w:val="restart"/>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Nr.</w:t>
            </w:r>
          </w:p>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crt.</w:t>
            </w:r>
          </w:p>
          <w:p w:rsidR="00010A67" w:rsidRPr="00612D78" w:rsidRDefault="00010A67" w:rsidP="00010A67">
            <w:pPr>
              <w:rPr>
                <w:rFonts w:ascii="Times New Roman" w:hAnsi="Times New Roman"/>
                <w:b/>
                <w:bCs/>
                <w:sz w:val="24"/>
                <w:szCs w:val="24"/>
              </w:rPr>
            </w:pPr>
          </w:p>
        </w:tc>
        <w:tc>
          <w:tcPr>
            <w:tcW w:w="1031" w:type="pct"/>
            <w:vMerge w:val="restart"/>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Obiective specifice</w:t>
            </w:r>
          </w:p>
          <w:p w:rsidR="00010A67" w:rsidRPr="00612D78" w:rsidRDefault="00010A67" w:rsidP="00010A67">
            <w:pPr>
              <w:rPr>
                <w:rFonts w:ascii="Times New Roman" w:hAnsi="Times New Roman"/>
                <w:b/>
                <w:bCs/>
                <w:sz w:val="24"/>
                <w:szCs w:val="24"/>
              </w:rPr>
            </w:pPr>
          </w:p>
        </w:tc>
        <w:tc>
          <w:tcPr>
            <w:tcW w:w="2072" w:type="pct"/>
            <w:gridSpan w:val="5"/>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Prognoze pe ani, lei</w:t>
            </w:r>
          </w:p>
        </w:tc>
        <w:tc>
          <w:tcPr>
            <w:tcW w:w="442" w:type="pct"/>
            <w:vMerge w:val="restar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Total general</w:t>
            </w:r>
          </w:p>
          <w:p w:rsidR="00010A67" w:rsidRPr="00612D78" w:rsidRDefault="00010A67" w:rsidP="00010A67">
            <w:pPr>
              <w:rPr>
                <w:rFonts w:ascii="Times New Roman" w:hAnsi="Times New Roman"/>
                <w:b/>
                <w:bCs/>
                <w:sz w:val="24"/>
                <w:szCs w:val="24"/>
              </w:rPr>
            </w:pPr>
          </w:p>
        </w:tc>
        <w:tc>
          <w:tcPr>
            <w:tcW w:w="1298" w:type="pct"/>
            <w:gridSpan w:val="3"/>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Conform sursei de finanțare</w:t>
            </w:r>
          </w:p>
          <w:p w:rsidR="00010A67" w:rsidRPr="00612D78" w:rsidRDefault="00010A67" w:rsidP="00010A67">
            <w:pPr>
              <w:rPr>
                <w:rFonts w:ascii="Times New Roman" w:hAnsi="Times New Roman"/>
                <w:b/>
                <w:bCs/>
                <w:sz w:val="24"/>
                <w:szCs w:val="24"/>
              </w:rPr>
            </w:pPr>
          </w:p>
        </w:tc>
      </w:tr>
      <w:tr w:rsidR="00010A67" w:rsidRPr="00612D78" w:rsidTr="00010A67">
        <w:trPr>
          <w:trHeight w:val="372"/>
        </w:trPr>
        <w:tc>
          <w:tcPr>
            <w:tcW w:w="157" w:type="pct"/>
            <w:vMerge/>
          </w:tcPr>
          <w:p w:rsidR="00010A67" w:rsidRPr="00612D78" w:rsidRDefault="00010A67" w:rsidP="00010A67">
            <w:pPr>
              <w:rPr>
                <w:rFonts w:ascii="Times New Roman" w:hAnsi="Times New Roman"/>
                <w:b/>
                <w:bCs/>
                <w:sz w:val="24"/>
                <w:szCs w:val="24"/>
              </w:rPr>
            </w:pPr>
          </w:p>
        </w:tc>
        <w:tc>
          <w:tcPr>
            <w:tcW w:w="1031" w:type="pct"/>
            <w:vMerge/>
          </w:tcPr>
          <w:p w:rsidR="00010A67" w:rsidRPr="00612D78" w:rsidRDefault="00010A67" w:rsidP="00010A67">
            <w:pPr>
              <w:rPr>
                <w:rFonts w:ascii="Times New Roman" w:hAnsi="Times New Roman"/>
                <w:b/>
                <w:bCs/>
                <w:sz w:val="24"/>
                <w:szCs w:val="24"/>
              </w:rPr>
            </w:pP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2023</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2024</w:t>
            </w:r>
          </w:p>
        </w:tc>
        <w:tc>
          <w:tcPr>
            <w:tcW w:w="42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2025</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2026</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2027</w:t>
            </w:r>
          </w:p>
        </w:tc>
        <w:tc>
          <w:tcPr>
            <w:tcW w:w="442" w:type="pct"/>
            <w:vMerge/>
          </w:tcPr>
          <w:p w:rsidR="00010A67" w:rsidRPr="00612D78" w:rsidRDefault="00010A67" w:rsidP="00010A67">
            <w:pPr>
              <w:rPr>
                <w:rFonts w:ascii="Times New Roman" w:hAnsi="Times New Roman"/>
                <w:b/>
                <w:bCs/>
                <w:sz w:val="24"/>
                <w:szCs w:val="24"/>
              </w:rPr>
            </w:pP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bugetul de stat</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FAOAM</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Parteneri de dezvoltare</w:t>
            </w:r>
          </w:p>
        </w:tc>
      </w:tr>
      <w:tr w:rsidR="00010A67" w:rsidRPr="00612D78" w:rsidTr="00010A67">
        <w:trPr>
          <w:trHeight w:val="266"/>
        </w:trPr>
        <w:tc>
          <w:tcPr>
            <w:tcW w:w="157"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Costul total, lei </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56,147,245.58</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60,222,183.02</w:t>
            </w:r>
          </w:p>
        </w:tc>
        <w:tc>
          <w:tcPr>
            <w:tcW w:w="42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61,622,994.22</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60,502,667.33</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56,949,885.70</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295,444,975.86</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159,695,104.86</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115,934,391.00</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19,815,480.00</w:t>
            </w:r>
          </w:p>
        </w:tc>
      </w:tr>
      <w:tr w:rsidR="00010A67" w:rsidRPr="00612D78" w:rsidTr="00010A67">
        <w:trPr>
          <w:trHeight w:val="799"/>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1.</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sz w:val="24"/>
                <w:szCs w:val="24"/>
              </w:rPr>
              <w:t xml:space="preserve"> </w:t>
            </w:r>
            <w:r w:rsidRPr="00612D78">
              <w:rPr>
                <w:rFonts w:ascii="Times New Roman" w:hAnsi="Times New Roman"/>
                <w:b/>
                <w:bCs/>
                <w:sz w:val="24"/>
                <w:szCs w:val="24"/>
              </w:rPr>
              <w:t xml:space="preserve">Obiectivul specific 1.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Atingerea unei acoperiri vaccinale înalte de cel puțin 95% cu vaccinurile de rutină la nivel național și teritorial</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864,005.00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3,412,425.00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606,525.00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2,805,900.00</w:t>
            </w:r>
          </w:p>
        </w:tc>
      </w:tr>
      <w:tr w:rsidR="00010A67" w:rsidRPr="00612D78" w:rsidTr="00010A67">
        <w:trPr>
          <w:trHeight w:val="1598"/>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2.</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Obiectivul specific 2.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 xml:space="preserve">Creșterea accesului la vaccinuri sigure și eficiente a </w:t>
            </w:r>
            <w:r w:rsidRPr="00612D78">
              <w:rPr>
                <w:rFonts w:ascii="Times New Roman" w:hAnsi="Times New Roman"/>
                <w:sz w:val="24"/>
                <w:szCs w:val="24"/>
              </w:rPr>
              <w:lastRenderedPageBreak/>
              <w:t>populației pe tot parcursul vieții, indiferent de locația lor geografică, vârstă, gen, statut economic, etnie, religie sau alte obstacole privind oportunitatea lor de a se bucura de beneficiile depline ale vaccinării</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lastRenderedPageBreak/>
              <w:t>55,135,017.58</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59,203,997.52</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60,658,691.22</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59,484,481.83</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56,085,582.70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290,567,770.86</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157,623,799.86</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115,934,391.00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17,009,580.00</w:t>
            </w:r>
          </w:p>
        </w:tc>
      </w:tr>
      <w:tr w:rsidR="00010A67" w:rsidRPr="00612D78" w:rsidTr="00010A67">
        <w:trPr>
          <w:trHeight w:val="799"/>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lastRenderedPageBreak/>
              <w:t>3.</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Obiectivul specific 3.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Asigurarea cu resurse umane instruite în domeniul imunizării în scopul creșterii siguranței și calității serviciilor de imunizare</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5,553.00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280,215.00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280,215.00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r>
      <w:tr w:rsidR="00010A67" w:rsidRPr="00612D78" w:rsidTr="00010A67">
        <w:trPr>
          <w:trHeight w:val="998"/>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4.</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Obiectivul specific 4.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 xml:space="preserve">Consolidarea sistemului național de supraveghere a bolilor prevenibile prin vaccinare cu fortificarea capacităților de cercetare și inovare în </w:t>
            </w:r>
            <w:r w:rsidRPr="00612D78">
              <w:rPr>
                <w:rFonts w:ascii="Times New Roman" w:hAnsi="Times New Roman"/>
                <w:sz w:val="24"/>
                <w:szCs w:val="24"/>
              </w:rPr>
              <w:lastRenderedPageBreak/>
              <w:t>domeniul imunizărilor</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lastRenderedPageBreak/>
              <w:t>43,380.00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197,262.50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143,380.00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197,262.50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43,380.00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624,665.00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624,665.00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r>
      <w:tr w:rsidR="00010A67" w:rsidRPr="00612D78" w:rsidTr="00010A67">
        <w:trPr>
          <w:trHeight w:val="799"/>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lastRenderedPageBreak/>
              <w:t>5.</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sz w:val="24"/>
                <w:szCs w:val="24"/>
              </w:rPr>
              <w:t> </w:t>
            </w:r>
            <w:r w:rsidRPr="00612D78">
              <w:rPr>
                <w:rFonts w:ascii="Times New Roman" w:hAnsi="Times New Roman"/>
                <w:b/>
                <w:bCs/>
                <w:sz w:val="24"/>
                <w:szCs w:val="24"/>
              </w:rPr>
              <w:t>Obiectivul specific 5.</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Fortificarea capacităților de monitorizare și coordonare a procesului de imunizare  în timp real și util la toate nivelurile</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99,290.00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559,900.00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559,900.00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r>
      <w:tr w:rsidR="00010A67" w:rsidRPr="00612D78" w:rsidTr="00010A67">
        <w:trPr>
          <w:gridAfter w:val="3"/>
          <w:wAfter w:w="3833" w:type="dxa"/>
          <w:trHeight w:val="266"/>
        </w:trPr>
        <w:tc>
          <w:tcPr>
            <w:tcW w:w="157" w:type="pct"/>
            <w:noWrap/>
          </w:tcPr>
          <w:p w:rsidR="00010A67" w:rsidRPr="00612D78" w:rsidRDefault="00010A67" w:rsidP="00010A67">
            <w:pPr>
              <w:jc w:val="right"/>
              <w:rPr>
                <w:rFonts w:ascii="Times New Roman" w:hAnsi="Times New Roman"/>
                <w:sz w:val="24"/>
                <w:szCs w:val="24"/>
              </w:rPr>
            </w:pPr>
          </w:p>
        </w:tc>
        <w:tc>
          <w:tcPr>
            <w:tcW w:w="1031"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COST_CNAM</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22,278,391.00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115,934,391.00</w:t>
            </w:r>
          </w:p>
        </w:tc>
      </w:tr>
      <w:tr w:rsidR="00010A67" w:rsidRPr="00612D78" w:rsidTr="00010A67">
        <w:trPr>
          <w:gridAfter w:val="3"/>
          <w:wAfter w:w="3833" w:type="dxa"/>
          <w:trHeight w:val="266"/>
        </w:trPr>
        <w:tc>
          <w:tcPr>
            <w:tcW w:w="157" w:type="pct"/>
            <w:noWrap/>
          </w:tcPr>
          <w:p w:rsidR="00010A67" w:rsidRPr="00612D78" w:rsidRDefault="00010A67" w:rsidP="00010A67">
            <w:pPr>
              <w:jc w:val="right"/>
              <w:rPr>
                <w:rFonts w:ascii="Times New Roman" w:hAnsi="Times New Roman"/>
                <w:sz w:val="24"/>
                <w:szCs w:val="24"/>
              </w:rPr>
            </w:pPr>
          </w:p>
        </w:tc>
        <w:tc>
          <w:tcPr>
            <w:tcW w:w="1031"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Cost buget stat (MS)</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29,414,134.58</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32,614,493.02</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34,244,904.22</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33,354,177.33</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30,067,395.70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159,695,104.86</w:t>
            </w:r>
          </w:p>
        </w:tc>
      </w:tr>
      <w:tr w:rsidR="00010A67" w:rsidRPr="00612D78" w:rsidTr="00010A67">
        <w:trPr>
          <w:gridAfter w:val="3"/>
          <w:wAfter w:w="3833" w:type="dxa"/>
          <w:trHeight w:val="266"/>
        </w:trPr>
        <w:tc>
          <w:tcPr>
            <w:tcW w:w="157" w:type="pct"/>
            <w:noWrap/>
          </w:tcPr>
          <w:p w:rsidR="00010A67" w:rsidRPr="00612D78" w:rsidRDefault="00010A67" w:rsidP="00010A67">
            <w:pPr>
              <w:jc w:val="right"/>
              <w:rPr>
                <w:rFonts w:ascii="Times New Roman" w:hAnsi="Times New Roman"/>
                <w:sz w:val="24"/>
                <w:szCs w:val="24"/>
              </w:rPr>
            </w:pPr>
          </w:p>
        </w:tc>
        <w:tc>
          <w:tcPr>
            <w:tcW w:w="1031"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COST_OMS_UNICEF_GAVI</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4,454,720.00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4,193,690.00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3,964,090.00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3,734,490.00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3,468,490.00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19,815,480.00</w:t>
            </w:r>
          </w:p>
        </w:tc>
      </w:tr>
    </w:tbl>
    <w:p w:rsidR="00010A67" w:rsidRPr="00612D78" w:rsidRDefault="00010A67" w:rsidP="00010A67">
      <w:pPr>
        <w:tabs>
          <w:tab w:val="left" w:pos="1134"/>
          <w:tab w:val="left" w:pos="6386"/>
        </w:tabs>
        <w:rPr>
          <w:rFonts w:ascii="Times New Roman" w:hAnsi="Times New Roman"/>
          <w:b/>
          <w:sz w:val="24"/>
          <w:szCs w:val="24"/>
          <w:lang w:eastAsia="ru-RU"/>
        </w:rPr>
        <w:sectPr w:rsidR="00010A67" w:rsidRPr="00612D78">
          <w:type w:val="continuous"/>
          <w:pgSz w:w="11907" w:h="16840"/>
          <w:pgMar w:top="1134" w:right="964" w:bottom="1134" w:left="1814" w:header="1134" w:footer="851" w:gutter="0"/>
          <w:cols w:space="720"/>
          <w:docGrid w:linePitch="272"/>
        </w:sectPr>
      </w:pPr>
    </w:p>
    <w:p w:rsidR="00010A67" w:rsidRPr="00010A67" w:rsidRDefault="00010A67" w:rsidP="00010A67">
      <w:pPr>
        <w:tabs>
          <w:tab w:val="left" w:pos="993"/>
          <w:tab w:val="left" w:pos="1134"/>
        </w:tabs>
        <w:rPr>
          <w:rFonts w:ascii="Times New Roman" w:hAnsi="Times New Roman"/>
          <w:b/>
          <w:sz w:val="24"/>
          <w:szCs w:val="24"/>
        </w:rPr>
      </w:pPr>
      <w:r w:rsidRPr="00010A67">
        <w:rPr>
          <w:rFonts w:ascii="Times New Roman" w:hAnsi="Times New Roman"/>
          <w:b/>
          <w:sz w:val="24"/>
          <w:szCs w:val="24"/>
        </w:rPr>
        <w:lastRenderedPageBreak/>
        <w:t>VII. RISCURI DE IMPLEMENTARE</w:t>
      </w:r>
    </w:p>
    <w:p w:rsidR="00010A67" w:rsidRPr="00010A67" w:rsidRDefault="00010A67" w:rsidP="00010A67">
      <w:pPr>
        <w:numPr>
          <w:ilvl w:val="1"/>
          <w:numId w:val="23"/>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În procesul de implementare a Programului sunt posibile apariția diferitelor bariere, iar în acest sens au fost anticipate riscurile potențiale și măsurile de diminuare a acestora:</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capacități financiare limitate pentru procurarea vaccinurilor, consumabilelor, utilajului frigorifer, reparația, mentenanța și monitorizarea acestuia;</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alocarea insuficientă sau întreruperea alocării fondurilor și suportului acordat de către partenerii internaționali;</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întreruperea în asigurarea cu vaccinuri din cauza logisticii sau/și lipsa ofertelor de vânzare a acestora pe piața internațională;</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insuficientă cu personal medical angajat în prestarea serviciilor de imunizări, în special în localitățile rurale;</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efectuarea cu întârziere a vaccinărilor din cauza contraindicațiilor medicale neargumentate și a fenomenului de ezitare la vaccinare;</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creșterea refuzurilor la vaccinare din cauza dezinformării populației despre vaccinuri și în lipsa susținerii adecvate din partea politicului.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Măsurile de diminuare a riscurilor de implementare a Programului: </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dialogurilor de politici privind sustenabilitatea financiară a Programului, cu implicarea partenerilor naționali și internaționali în scopul asigurării accesului universal la imunizare;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creșterea capacităților de elaborare a proiectelor internaționale și naționale de dezvoltare a  sistemului de asigurare cu resurse a Programului. Susținerea investițiilor actuale în asigurarea cu vaccinuri cu abordarea progresivă de prioritizare a Programului ar determina un proces durabil, finanțat, în mare măsură, din resurse interne;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fortificarea capacităților de planificare multianuală a procesului de procurare a vaccinurilor după prognoze efectuate în baza instrumentelor internaționale;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unor strategii de atragere și consolidare a resurselor umane implicate în furnizarea serviciilor de imunizare, prin programe de motivare a lucrătorilor medicali, cu scopul angajării în domeniul sănătății în special în localitățile rurale;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atelierelor de instruire a lucrătorilor medicali din cadrul asistenței medicale primare și spitalicească prestatori de servicii de imunizare, în special a specialiștilor de profil îngust;</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și implementarea strategiilor de comunicare de schimbare comportamentală privind acceptarea imunizărilor în baza rezultatelor studiilor calitative și cantitative;</w:t>
      </w:r>
    </w:p>
    <w:p w:rsid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bugetul Programului include măsuri pentru trecerea treptată la finanțarea din surse interne și continuă tendința de creștere a finanțării din bugetul public.</w:t>
      </w:r>
    </w:p>
    <w:p w:rsidR="00612D78" w:rsidRPr="00010A67" w:rsidRDefault="00612D78" w:rsidP="00612D78">
      <w:pPr>
        <w:tabs>
          <w:tab w:val="left" w:pos="284"/>
          <w:tab w:val="left" w:pos="993"/>
          <w:tab w:val="left" w:pos="1134"/>
        </w:tabs>
        <w:ind w:left="709"/>
        <w:jc w:val="both"/>
        <w:rPr>
          <w:rFonts w:ascii="Times New Roman" w:hAnsi="Times New Roman"/>
          <w:sz w:val="24"/>
          <w:szCs w:val="24"/>
        </w:rPr>
      </w:pPr>
    </w:p>
    <w:p w:rsidR="00010A67" w:rsidRPr="00010A67" w:rsidRDefault="00010A67" w:rsidP="00010A67">
      <w:pPr>
        <w:tabs>
          <w:tab w:val="left" w:pos="993"/>
          <w:tab w:val="left" w:pos="1134"/>
        </w:tabs>
        <w:rPr>
          <w:rFonts w:ascii="Times New Roman" w:hAnsi="Times New Roman"/>
          <w:b/>
          <w:sz w:val="24"/>
          <w:szCs w:val="24"/>
        </w:rPr>
      </w:pPr>
      <w:r w:rsidRPr="00010A67">
        <w:rPr>
          <w:rFonts w:ascii="Times New Roman" w:hAnsi="Times New Roman"/>
          <w:b/>
          <w:sz w:val="24"/>
          <w:szCs w:val="24"/>
        </w:rPr>
        <w:t>VIII. AUTORITĂȚI/INSTITUȚII RESPONSABILE</w:t>
      </w:r>
    </w:p>
    <w:p w:rsidR="00010A67" w:rsidRPr="00010A67" w:rsidRDefault="00010A67" w:rsidP="00010A67">
      <w:pPr>
        <w:numPr>
          <w:ilvl w:val="1"/>
          <w:numId w:val="23"/>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Responsabilitatea privind coordonarea generală pentru implementarea prezentului Program revine Ministerului Sănătății. Autoritățile responsabile de implementarea Programului sunt:</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Națională pentru Sănătate Publică;</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Medicamentului și Dispozitivelor Medicale;</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Centrul de Achiziții Publice Centralizate în Sănătate;</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Compania Națională de Asigurări în Medicină;</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instituțiile medico-sanitare de asistență medicală primară, spitalicească şi departamentale care acordă servicii de imunizare;</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Universitatea de Stat de Medicină și Farmacie „Nicolae Testemițanu”, Instituția Medico-Sanitară Publică Institutul Mamei și Copilului; Instituția Medico-Sanitară Publică Institutul de Ftiziopneumologie „Chiril Draganiuc”, Instituția Medico-Sanitară Publică Institutul Oncologic și Instituția Medico-Sanitară Publică Spitalul Clinic de Boli Infecțioase „Toma Ciorbă”;</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autoritățile administrației publice centrale și locale; </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 Educației și Cercetării în comun cu instituțiile de educație și instruire de toate nivelurile; </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organizațiile neguvernamentale și internaționale (OMS, UNICEF, GAVI etc.); </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Comitetul național consultativ de experți în domeniul imunizărilor;</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Consiliul de coordonare a implementării Programului.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 Sănătății: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promovează politica în domeniul imunizărilor, aprobă cadrul normativ și recomandările privind implementarea Programului;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prevede anual, în limitele mijloacelor destinate ocrotirii sănătății, alocații pentru finanțarea procurării vaccinurilor, seringilor, echipamentului de nimicire inofensivă a deșeurilor în urma imunizării, echipamentului pentru sistemul „lanțului frig” și a altor echipamente și consumabile necesare pentru implementarea Programului;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elaborează și aprobă ordine, dispoziții anuale de planificare a vaccinărilor și  planurile anuale de vaccinare pe țară;</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ia decizii privind </w:t>
      </w:r>
      <w:r w:rsidRPr="00010A67">
        <w:rPr>
          <w:rFonts w:ascii="Times New Roman" w:hAnsi="Times New Roman"/>
          <w:color w:val="000000" w:themeColor="text1"/>
          <w:sz w:val="24"/>
          <w:szCs w:val="24"/>
        </w:rPr>
        <w:t xml:space="preserve">modificarea Calendarului național de vaccinare, </w:t>
      </w:r>
      <w:r w:rsidRPr="00010A67">
        <w:rPr>
          <w:rFonts w:ascii="Times New Roman" w:hAnsi="Times New Roman"/>
          <w:sz w:val="24"/>
          <w:szCs w:val="24"/>
        </w:rPr>
        <w:t>efectuarea vaccinării unor contingente suplimentare de populație cu risc sporit de infectare, realizarea campaniilor naționale sau teritoriale de imunizare în masă, pornind de la situația epidemiologică;</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monitorizează implementarea Programului;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asigură coordonarea îndeplinirii Programului prin consultare cu Consiliul de coordonare și implementare a Programului, Comitetul național de experți în domeniul imunizărilor, Agenția Națională pentru Sănătate Publică, Compania Națională de Asigurări în Medicină, Agenția Medicamentului și Dispozitivelor Medicale, Centrul pentru Achiziții Publice Centralizate în Sănătate, Instituția Medico-Sanitară Publică Institutul Mamei și Copilului, Instituția Medico-Sanitară Publică Institutul de Ftiziopneumologie „Chiril Draganiuc”, Instituția Medico-Sanitară Publică Institutul Oncologic, Instituția Medico-Sanitară Publică Spitalul Clinic de Boli Infecțioase „Toma Ciorbă”, Universitatea de Stat de Medicină și Farmacie „Nicolae Testemițanu”.  </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Națională pentru Sănătate Publică la nivel central va fi responsabilă de: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dezvoltarea, argumentarea și promovarea propunerilor de politici în domeniul imunizărilor;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și perfecționarea cadrului normativ și instructiv în domeniul imunizărilor şi supravegherii bolilor prevenibile prin vaccinări;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coordonarea subiectelor ce țin de imunizare cu instituțiile naționale și internaționale;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planului național de vaccinare, asigurarea cu vaccinuri și consumabile pentru efectuarea vaccinărilor;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supervizarea, monitorizarea și evaluarea realizării Programului și situațiilor de risc;</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stabilirea necesităților și graficului de livrare, comanda, recepționarea, păstrarea, distribuirea și monitorizarea stocurilor de vaccinuri și materiale pentru imunizare;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funcționării „lanțului frig”, conform cerințelor OMS şi Uniunii Europene, înaintarea propunerilor pentru asigurarea funcționării „lanțului frig” la toate nivelurile;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verificarea corespunderii prevederilor contractelor de achiziționare a vaccinurilor referitoare la respectarea condițiilor de ambalare și transportare a lor până la depozitul național;</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transportării, păstrării și eliberării vaccinurilor și consumabilelor pentru administrarea lor în condiții conforme recomandărilor OMS şi cerințelor documentelor normative;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supravegherea epidemiologică şi diagnosticul specific de laborator al bolilor prevenibile prin vaccinări;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și efectuarea măsurilor antiepidemice la înregistrarea cazurilor de îmbolnăvire prin infecții prevenibile prin vaccinare;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analiza, evaluarea cazurilor de evenimente adverse postimunizare la administrarea vaccinurilor, în comun cu Agenția Medicamentului și Dispozitivelor Medicale, participarea la investigarea cazurilor de evenimente adverse postimunizare, în comun cu specialiștii instituțiilor naționale de sănătate, delegați de Ministerul Sănătății;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aprobarea anuală a formularelor statistice de evidență și raportare a vaccinărilor;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publicarea în anuarele statistice a indicatorilor de acoperire vaccinală și morbiditate prin bolile prevenibile prin vaccinări;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pregătirea anuală a informației privind distribuția teritorială și de vârstă a cazurilor de deces prin infecțiile incluse în Program.</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Agenția Națională pentru Sănătate Publică la nivel de centre de sănătate publică teritoriale responsabile de efectuarea următoarelor activități: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programelor teritoriale de imunizare și monitorizarea implementării lor în colaborare cu conducătorii instituțiilor medico-sanitare și cu autoritățile administrației publice centrale și locale;</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planurilor de vaccinare teritoriale, recepționarea și distribuirea la timp a vaccinurilor şi a consumabilelor necesare pentru imunizări;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atingerii obiectivelor prezentului Program și a altor indicatori de performanță la nivel de teritoriu administrativ și instituție medicală, evaluarea situațiilor de risc;</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medical privind practicile de imunizare;</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atestarea cunoștințelor personalului medical în domeniul imunizărilor; </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recepționarea trimestrială a vaccinurilor și a consumabilelor de la depozitul național, transportarea, stocarea, păstrarea în condiții adecvate și distribuirea lor lunară instituțiilor medico-sanitare, monitorizarea permanentă a utilizării;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color w:val="000000" w:themeColor="text1"/>
          <w:sz w:val="24"/>
          <w:szCs w:val="24"/>
        </w:rPr>
      </w:pPr>
      <w:r w:rsidRPr="00010A67">
        <w:rPr>
          <w:rFonts w:ascii="Times New Roman" w:hAnsi="Times New Roman"/>
          <w:color w:val="000000" w:themeColor="text1"/>
          <w:sz w:val="24"/>
          <w:szCs w:val="24"/>
        </w:rPr>
        <w:t>realizarea vizitelor de supervizare și suport a instituțiilor medico-sanitare care prestează servicii de imunizare indiferent de formă juridică în domeniul managementului efectiv al vaccinurilor, inclusiv evaluarea respectării condițiilor de transportare, păstrare și administrare a vaccinurilor, conform actelor normative. Vizitele de supervizare și suport în domeniul imunizărilor vor fi efectuate de către specialiștii din cadrul Agenției Naționale pentru Sănătate Publică cu subdiviziunile ei teritoriale (centrele de sănătate publică teritoriale), nu mai puțin de o vizită pe an și la necesitate, într-o instituție medico-sanitară din teritoriul administrativ al respectivului centru de sănătate publică teritorial.</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exercitarea supravegherii epidemiologice a bolilor prevenibile prin vaccinări, evaluarea situațiilor de risc, organizarea și realizarea măsurilor antiepidemice la înregistrarea cazurilor de îmbolnăvire și evenimente adverse postimunizare;</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monitorizarea evenimentelor adverse postimunizare și a contraindicațiilor false la vaccinare; </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activităților de comunicare și promovare a cunoștințelor privind beneficiile imunizărilor în rândul populației;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conlucrarea cu autoritățile administrației publice locale privind organizarea și controlul implementării Programului;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și dirijarea procesului de instruire și atestare a personalului medical privind practicile de imunizare, cu elaborarea și aprobarea programelor de instruire și a materialelor didactice corespunzătoare;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efectuarea supravegherii serologice a păturii imune;</w:t>
      </w:r>
    </w:p>
    <w:p w:rsidR="00010A67" w:rsidRPr="00010A67" w:rsidRDefault="00010A67" w:rsidP="00010A67">
      <w:pPr>
        <w:numPr>
          <w:ilvl w:val="0"/>
          <w:numId w:val="28"/>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comunicarea cu populația, grupurile-țintă, mass-media în scopul promovării imunizărilor;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publicarea în ediții speciale anual a informației privind realizarea Programului, indicatorii de progres și de performanță;</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efectuarea studiilor științifice în domeniul imunizărilor, inclusiv în colaborare cu organismele internaționale.</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Medicamentului și Dispozitivelor</w:t>
      </w:r>
      <w:r w:rsidRPr="00010A67">
        <w:rPr>
          <w:rFonts w:ascii="Times New Roman" w:hAnsi="Times New Roman"/>
          <w:b/>
          <w:sz w:val="24"/>
          <w:szCs w:val="24"/>
        </w:rPr>
        <w:t xml:space="preserve"> </w:t>
      </w:r>
      <w:r w:rsidRPr="00010A67">
        <w:rPr>
          <w:rFonts w:ascii="Times New Roman" w:hAnsi="Times New Roman"/>
          <w:sz w:val="24"/>
          <w:szCs w:val="24"/>
        </w:rPr>
        <w:t>Medicale</w:t>
      </w:r>
      <w:r w:rsidRPr="00010A67">
        <w:rPr>
          <w:rFonts w:ascii="Times New Roman" w:hAnsi="Times New Roman"/>
          <w:b/>
          <w:sz w:val="24"/>
          <w:szCs w:val="24"/>
        </w:rPr>
        <w:t xml:space="preserve"> </w:t>
      </w:r>
      <w:r w:rsidRPr="00010A67">
        <w:rPr>
          <w:rFonts w:ascii="Times New Roman" w:hAnsi="Times New Roman"/>
          <w:sz w:val="24"/>
          <w:szCs w:val="24"/>
        </w:rPr>
        <w:t>este responsabilă de:</w:t>
      </w:r>
    </w:p>
    <w:p w:rsidR="00010A67" w:rsidRPr="00010A67" w:rsidRDefault="00010A67" w:rsidP="00010A67">
      <w:pPr>
        <w:numPr>
          <w:ilvl w:val="0"/>
          <w:numId w:val="30"/>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înregistrarea vaccinurilor și controlul conformității lor cerințelor OMS;</w:t>
      </w:r>
    </w:p>
    <w:p w:rsidR="00010A67" w:rsidRPr="00010A67" w:rsidRDefault="00010A67" w:rsidP="00010A67">
      <w:pPr>
        <w:numPr>
          <w:ilvl w:val="0"/>
          <w:numId w:val="30"/>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procesului de farmacovigilență în domeniul imunizărilor;</w:t>
      </w:r>
    </w:p>
    <w:p w:rsidR="00010A67" w:rsidRPr="00010A67" w:rsidRDefault="00010A67" w:rsidP="00010A67">
      <w:pPr>
        <w:numPr>
          <w:ilvl w:val="0"/>
          <w:numId w:val="30"/>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și raportarea cazurilor de evenimente adverse post-imunizare la OMS.</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Centrul pentru Achiziții Publice Centralizate în Sănătate asigură organizarea licitațiilor publice de procurare a vaccinurilor, consumabilelor și dispozitivelor medicale pentru realizarea vaccinărilor, la solicitarea Ministerului Sănătății.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Compania Națională de Asigurări în Medicină:</w:t>
      </w:r>
    </w:p>
    <w:p w:rsidR="00010A67" w:rsidRPr="00010A67" w:rsidRDefault="00010A67" w:rsidP="00010A67">
      <w:pPr>
        <w:numPr>
          <w:ilvl w:val="0"/>
          <w:numId w:val="31"/>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contribuie, în caz de necesitate, la acoperirea financiară a costurilor vaccinurilor, consumabilelor și dispozitivelor medicale în limitele mijloacelor financiare disponibile în conformitate cu cadrul normativ;</w:t>
      </w:r>
    </w:p>
    <w:p w:rsidR="00010A67" w:rsidRPr="00010A67" w:rsidRDefault="00010A67" w:rsidP="00010A67">
      <w:pPr>
        <w:numPr>
          <w:ilvl w:val="0"/>
          <w:numId w:val="31"/>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asigură suportul implementării campaniilor de informare și promovare a vaccinărilor din cadrul fondului măsurilor de profilaxie;</w:t>
      </w:r>
    </w:p>
    <w:p w:rsidR="00010A67" w:rsidRPr="00010A67" w:rsidRDefault="00010A67" w:rsidP="00010A67">
      <w:pPr>
        <w:numPr>
          <w:ilvl w:val="0"/>
          <w:numId w:val="31"/>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elaborează mecanisme de încurajare/penalizare a instituțiilor medico-sanitare care sunt implicate în prestarea serviciilor de imunizare, cu stabilirea indicatorilor de performanță privind nivelul de acoperire vaccinală și lipsei cazurilor indigene de boli prevenibile prin vaccinări.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color w:val="000000" w:themeColor="text1"/>
          <w:sz w:val="24"/>
          <w:szCs w:val="24"/>
        </w:rPr>
        <w:t xml:space="preserve">Instituțiile medico-sanitare de asistență medicală primară și instituțiile departamentale </w:t>
      </w:r>
      <w:r w:rsidRPr="00010A67">
        <w:rPr>
          <w:rFonts w:ascii="Times New Roman" w:hAnsi="Times New Roman"/>
          <w:bCs/>
          <w:color w:val="000000" w:themeColor="text1"/>
          <w:sz w:val="24"/>
          <w:szCs w:val="24"/>
        </w:rPr>
        <w:t>care acordă servicii de imunizare</w:t>
      </w:r>
      <w:r w:rsidRPr="00010A67">
        <w:rPr>
          <w:rFonts w:ascii="Times New Roman" w:hAnsi="Times New Roman"/>
          <w:color w:val="000000" w:themeColor="text1"/>
          <w:sz w:val="24"/>
          <w:szCs w:val="24"/>
        </w:rPr>
        <w:t xml:space="preserve"> sunt responsabile nemijlocit de planificarea, organizarea și prestarea serviciilor de imunizare populației conform Programului, </w:t>
      </w:r>
      <w:r w:rsidRPr="00010A67">
        <w:rPr>
          <w:rFonts w:ascii="Times New Roman" w:hAnsi="Times New Roman"/>
          <w:sz w:val="24"/>
          <w:szCs w:val="24"/>
        </w:rPr>
        <w:t xml:space="preserve">coordonarea acestor activități cu structurile locale și ierarhic superioare interesate. Instituțiile de asistență medicală primară asigură implementarea următoarelor acțiuni: </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accesului populației la servicii de imunizare și a calității înalte a serviciilor de imunizare;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integrarea serviciilor de imunizare a populației în cadrul serviciilor de asistență medicală primară;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crearea condițiilor, dotarea cu echipament și consumabile necesare pentru efectuarea imunizărilor;</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planificarea și raportarea vaccinărilor efectuate de către Agenția Națională pentru Sănătate Publică;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medical cu evaluarea cunoștințelor și deprinderilor practice;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planificarea și asigurarea imunizării personalului medical din instituție;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funcționării sistemului de evidență a populației și a vaccinărilor efectuate și de triere lunară a persoanelor care urmează a fi vaccinate;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 stabilirea necesității, recepționarea vaccinurilor și consumabilelor de la centrele de sănătate publică teritoriale, transportarea, păstrarea, mânuirea, administrarea corectă și monitorizarea utilizării stocurilor de vaccinuri și consumabile;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respectarea condițiilor de transportare, păstrare și utilizare a vaccinurilor;</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depistarea, investigarea, izolarea, tratamentul bolnavilor cu infecții prevenibile prin vaccinări și efectuarea măsurilor antiepidemice în focare, în comun cu serviciul de supraveghere de stat a sănătății publice;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evidențierea, acordarea asistenței medicale și raportarea evenimentelor adverse postimunizare instituțiilor abilitate; </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notificarea cazurilor de boli prevenibile prin vaccinări și evenimente adverse postimunizare în sistemul național de supraveghere epidemiologică și control al bolilor transmisibile și evenimentelor de sănătate publică;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și raportarea contraindicațiilor la vaccinare Agenției Naționale pentru Sănătate Publică;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anuală a necesităților și asigurarea cu formulare statistice de evidență și raportare a vaccinărilor;</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sistematică a cuprinderii cu vaccinări a populației eligibile, respectării condițiilor „lanțului frig”, consumului de vaccinuri, apariției cazurilor de boli prevenibile și a altor indicatori de performanță din teritoriul deservit, evaluarea situațiilor de risc şi prezentarea rapoartelor respective instituțiilor ierarhic superioare în modul stabilit;</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implementarea acțiunilor de imunizare întârziată și creare a cererii de vaccinare cu implicarea liderilor oficiali și neoficiali, inclusiv invitarea repetată a populației la imunizare;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comunicarea cu populația despre beneficiile vaccinării și despre ordinea imunizării pentru fiecare persoană eligibilă;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conlucrarea cu autoritățile administrației publice centrale și locale privind organizarea implementării Programului;</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color w:val="000000" w:themeColor="text1"/>
          <w:sz w:val="24"/>
          <w:szCs w:val="24"/>
        </w:rPr>
      </w:pPr>
      <w:r w:rsidRPr="00010A67">
        <w:rPr>
          <w:rFonts w:ascii="Times New Roman" w:hAnsi="Times New Roman"/>
          <w:color w:val="000000" w:themeColor="text1"/>
          <w:sz w:val="24"/>
          <w:szCs w:val="24"/>
        </w:rPr>
        <w:t>asigurarea suportului pentru buna desfășurare a vizitelor de supervizare cu prezentarea datelor și documentelor solicitate de către specialiștii din cadrul Agenției Naționale pentru Sănătate Publică și din subdiviziunile ei teritoriale (centrele de sănătate publică teritoriale). Vizitele de supervizare și suport vor fi organizate conform metodologiei reglementate în  actele normative.</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Instituțiile medico-sanitare de asistență medicală spitalicească vor asigura implementarea următoarelor acțiuni:</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crearea condițiilor, dotarea cu echipament și consumabile necesare pentru efectuarea imunizărilor;</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planificarea, efectuarea vaccinării nou-născuților în maternități, personalului instituției </w:t>
      </w:r>
      <w:r w:rsidRPr="00010A67">
        <w:rPr>
          <w:rFonts w:ascii="Times New Roman" w:hAnsi="Times New Roman"/>
          <w:color w:val="000000" w:themeColor="text1"/>
          <w:sz w:val="24"/>
          <w:szCs w:val="24"/>
        </w:rPr>
        <w:t xml:space="preserve">conform Calendarului național de vaccinare </w:t>
      </w:r>
      <w:r w:rsidRPr="00010A67">
        <w:rPr>
          <w:rFonts w:ascii="Times New Roman" w:hAnsi="Times New Roman"/>
          <w:sz w:val="24"/>
          <w:szCs w:val="24"/>
        </w:rPr>
        <w:t>și prezentarea rapoartelor despre vaccinările efectuate;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stabilirea necesității, recepționarea vaccinului și a materialelor pentru imunizare de la centrele de sănătate publică teritoriale, transportarea, păstrarea, mânuirea, administrarea corectă și monitorizarea utilizării stocurilor de vaccinuri și consumabile;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respectarea condițiilor de transportare, păstrare și utilizare a vaccinurilor;</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medical în domeniul vaccinărilor și evaluarea cunoștințelor lui;</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diagnosticarea, investigarea de laborator, izolarea, tratamentul bolnavilor cu infecții prevenibile prin vaccinări și participarea la efectuarea măsurilor antiepidemice în focarele de boli contagioase, în comun cu serviciul de supraveghere de stat în sănătatea publică;</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notificarea cazurilor de boli prevenibile prin vaccinări în sistemul național de supraveghere epidemiologică și control al bolilor transmisibile și evenimentelor de sănătate publică;</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diagnosticul diferențial, investigarea de laborator, acordarea asistenței medicale și raportarea instituțiilor abilitate despre evenimentele adverse post-imunizare;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anuală a necesităților și asigurarea cu formulare statistice de evidență și raportarea vaccinărilor;</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informării populației privind eficacitatea imunizărilor și importanța lor pentru sănătate;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conlucrarea cu autoritățile administrației publice centrale și locale privind organizarea implementării Programului;</w:t>
      </w:r>
    </w:p>
    <w:p w:rsidR="00010A67" w:rsidRPr="00010A67" w:rsidRDefault="00010A67" w:rsidP="00010A67">
      <w:pPr>
        <w:pStyle w:val="af2"/>
        <w:numPr>
          <w:ilvl w:val="0"/>
          <w:numId w:val="33"/>
        </w:numPr>
        <w:tabs>
          <w:tab w:val="left" w:pos="993"/>
          <w:tab w:val="left" w:pos="1134"/>
        </w:tabs>
        <w:ind w:left="0" w:firstLine="709"/>
        <w:jc w:val="both"/>
        <w:rPr>
          <w:rFonts w:ascii="Times New Roman" w:hAnsi="Times New Roman"/>
          <w:color w:val="000000" w:themeColor="text1"/>
          <w:sz w:val="24"/>
          <w:szCs w:val="24"/>
        </w:rPr>
      </w:pPr>
      <w:r w:rsidRPr="00010A67">
        <w:rPr>
          <w:rFonts w:ascii="Times New Roman" w:hAnsi="Times New Roman"/>
          <w:color w:val="000000" w:themeColor="text1"/>
          <w:sz w:val="24"/>
          <w:szCs w:val="24"/>
        </w:rPr>
        <w:t>asigurarea suportului pentru buna desfășurare a vizitelor de supervizare cu prezentarea datelor și documentelor solicitate de către specialiștii din cadrul Agenției Naționale pentru Sănătate Publică și din subdiviziunile ei teritoriale (centrele de sănătate publică teritoriale). Vizitele de supervizare și suport vor fi organizate conform metodologiei reglementate în actele normative.</w:t>
      </w:r>
    </w:p>
    <w:p w:rsidR="00010A67" w:rsidRPr="00010A67" w:rsidRDefault="00010A67" w:rsidP="00010A67">
      <w:pPr>
        <w:numPr>
          <w:ilvl w:val="1"/>
          <w:numId w:val="23"/>
        </w:numPr>
        <w:tabs>
          <w:tab w:val="left" w:pos="284"/>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Autoritățile administrației publice centrale asigură:</w:t>
      </w:r>
    </w:p>
    <w:p w:rsidR="00010A67" w:rsidRPr="00010A67" w:rsidRDefault="00010A67" w:rsidP="00010A67">
      <w:pPr>
        <w:numPr>
          <w:ilvl w:val="0"/>
          <w:numId w:val="34"/>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aprobarea programelor teritoriale de imunizări și monitorizarea realizării lor;</w:t>
      </w:r>
    </w:p>
    <w:p w:rsidR="00010A67" w:rsidRPr="00010A67" w:rsidRDefault="00010A67" w:rsidP="00010A67">
      <w:pPr>
        <w:numPr>
          <w:ilvl w:val="0"/>
          <w:numId w:val="34"/>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acordarea suportului instituțiilor medico-sanitare publice și centrelor de sănătate publică pentru organizarea și efectuarea măsurilor de mobilizare a populației și instituțiilor subordonate în realizarea prezentului Program;</w:t>
      </w:r>
    </w:p>
    <w:p w:rsidR="00010A67" w:rsidRPr="00010A67" w:rsidRDefault="00010A67" w:rsidP="00010A67">
      <w:pPr>
        <w:numPr>
          <w:ilvl w:val="0"/>
          <w:numId w:val="34"/>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acordarea suportului nemijlocit instituțiilor medico-sanitare publice de asistență medicală primară și spitalicească pentru crearea condițiilor de efectuare a vaccinărilor, inclusiv întreținerea instituiților, asigurarea cu echipament pentru păstrarea vaccinurilor,  înlăturarea inofensivă a deșeurilor ascuțite și tăioase provenite în urma procesului de vaccinare și susținerea mesajelor de comunicare și mobilizare socială adresate populației.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 Educației și Cercetării, prin intermediul instituțiilor de educație timpurie și celor de învățământ în contextul partajării angajamentului privind admiterea copiilor imunizați în instituțiile educaționale și colectivități, astfel creând condiții sigure din punct de vedere epidemiologic de educație și instruire:</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oferă suport pentru organizarea imunizării copiilor preșcolari, elevilor, studenților și angajaților acestor instituții în caz de efectuare a unor campanii de imunizări în masă ca urmare a indicațiilor epidemice;</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contribuie la informarea corectă a cadrelor didactice și a discipolilor privind eficiența, beneficiile și necesitatea imunizărilor;</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cooperează cu instituțiile medicale în vederea  admiterii în instituțiile de educație timpurie, în cele de învățământ și în colectivități doar a persoanelor vaccinate, conform prezentului Program, cu excepția unor stări medicale rare care urmează a fi constatate, confirmate și documentate de către medicul de familie;</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participă la elaborarea materialelor educaționale pentru copii, adolescenți și tineri în domeniul promovării beneficiilor imunizării.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Universitatea de Stat de Medicină și Farmacie „Nicolae Testemițanu”, Instituția Medico-Sanitară Publică Institutul Mamei și Copilului, Instituția Medico-Sanitară Publică Institutul de Ftiziopneumologie „Chiril Draganiuc”, Instituția Medico-Sanitară Publică Institutul Oncologic și Instituția Medico-Sanitară Publică Spitalul Clinic de Boli Infecţioase „Toma Ciorbă” în calitate de parteneri vor asigura:</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pregătirea universitară și postuniversitară a cadrelor medicale în domeniul imunoprofilaxiei, diagnosticului și tratamentului bolilor prevenibile prin vaccinări;</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ajustarea programelor de studii conform prevederilor prezentului Program și cadrului normativ aprobat de Ministerul Sănătății pentru implementarea acestuia;</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participarea în cadrul grupurilor de experți pentru pregătirea cadrului normativ de implementare a Programului și evaluarea subiectelor specifice de importanță clinică și epidemiologică;</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includerea în programele de cercetare-dezvoltare a problemelor în domeniul imunoprofilaxiei, diagnosticului şi tratamentului bolilor infecțioase prevenibile prin vaccinare;</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comunicarea cu populația, grupurile-țintă, mass-media în scopul promovării imunizărilor.</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Comitetul național consultativ de experți în domeniul imunizărilor pe lângă Ministerul Sănătății:</w:t>
      </w:r>
    </w:p>
    <w:p w:rsidR="00010A67" w:rsidRPr="00010A67" w:rsidRDefault="00010A67" w:rsidP="00010A67">
      <w:pPr>
        <w:numPr>
          <w:ilvl w:val="0"/>
          <w:numId w:val="3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consultă Ministerul Sănătății sub aspect medical, științific și de sănătate publică cu privire la vaccinuri și la măsurile de prevenire a bolilor, la necesitate se va expune asupra </w:t>
      </w:r>
      <w:r w:rsidRPr="00010A67">
        <w:rPr>
          <w:rFonts w:ascii="Times New Roman" w:hAnsi="Times New Roman"/>
          <w:color w:val="000000" w:themeColor="text1"/>
          <w:sz w:val="24"/>
          <w:szCs w:val="24"/>
        </w:rPr>
        <w:t xml:space="preserve">Calendarului național de vaccinare </w:t>
      </w:r>
      <w:r w:rsidRPr="00010A67">
        <w:rPr>
          <w:rFonts w:ascii="Times New Roman" w:hAnsi="Times New Roman"/>
          <w:sz w:val="24"/>
          <w:szCs w:val="24"/>
        </w:rPr>
        <w:t>și a schemelor de imunizare pentru vaccinurile neincluse în acesta, la implementarea vaccinurilor noi, evaluarea eficienței imunizărilor;</w:t>
      </w:r>
    </w:p>
    <w:p w:rsidR="00010A67" w:rsidRPr="00010A67" w:rsidRDefault="00010A67" w:rsidP="00010A67">
      <w:pPr>
        <w:numPr>
          <w:ilvl w:val="0"/>
          <w:numId w:val="3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oferă suport consultativ în vederea prevenirii bolilor infecțioase pentru care sunt disponibile  vaccinuri;</w:t>
      </w:r>
    </w:p>
    <w:p w:rsidR="00010A67" w:rsidRPr="00010A67" w:rsidRDefault="00010A67" w:rsidP="00010A67">
      <w:pPr>
        <w:numPr>
          <w:ilvl w:val="0"/>
          <w:numId w:val="3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elaborează recomandări privind implementarea vaccinurilor noi;</w:t>
      </w:r>
    </w:p>
    <w:p w:rsidR="00010A67" w:rsidRPr="00010A67" w:rsidRDefault="00010A67" w:rsidP="00010A67">
      <w:pPr>
        <w:numPr>
          <w:ilvl w:val="0"/>
          <w:numId w:val="37"/>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oferă suport consultativ cu privire la evaluarea eficienței vaccinurilor și tehnologiilor noi;</w:t>
      </w:r>
    </w:p>
    <w:p w:rsidR="00010A67" w:rsidRDefault="00010A67" w:rsidP="00010A67">
      <w:pPr>
        <w:numPr>
          <w:ilvl w:val="0"/>
          <w:numId w:val="37"/>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studiază experiența internațională în domeniul imunizărilor și elaborează propuneri pentru integrarea acestora în sistemul național de imunizări.</w:t>
      </w:r>
    </w:p>
    <w:p w:rsidR="00010A67" w:rsidRPr="00010A67" w:rsidRDefault="00010A67" w:rsidP="00010A67">
      <w:pPr>
        <w:tabs>
          <w:tab w:val="left" w:pos="993"/>
          <w:tab w:val="left" w:pos="1134"/>
        </w:tabs>
        <w:ind w:left="709"/>
        <w:jc w:val="both"/>
        <w:rPr>
          <w:rFonts w:ascii="Times New Roman" w:hAnsi="Times New Roman"/>
          <w:sz w:val="24"/>
          <w:szCs w:val="24"/>
        </w:rPr>
      </w:pPr>
    </w:p>
    <w:p w:rsidR="00010A67" w:rsidRPr="00010A67" w:rsidRDefault="00010A67" w:rsidP="00010A67">
      <w:pPr>
        <w:shd w:val="clear" w:color="auto" w:fill="FFFFFF"/>
        <w:tabs>
          <w:tab w:val="left" w:pos="993"/>
          <w:tab w:val="left" w:pos="1134"/>
        </w:tabs>
        <w:rPr>
          <w:rFonts w:ascii="Times New Roman" w:hAnsi="Times New Roman"/>
          <w:b/>
          <w:sz w:val="24"/>
          <w:szCs w:val="24"/>
        </w:rPr>
      </w:pPr>
      <w:r w:rsidRPr="00010A67">
        <w:rPr>
          <w:rFonts w:ascii="Times New Roman" w:hAnsi="Times New Roman"/>
          <w:b/>
          <w:sz w:val="24"/>
          <w:szCs w:val="24"/>
        </w:rPr>
        <w:t>IX. PROCEDURI DE RAPORTARE, MONITORIZARE</w:t>
      </w:r>
    </w:p>
    <w:p w:rsidR="00010A67" w:rsidRPr="00010A67" w:rsidRDefault="00010A67" w:rsidP="00010A67">
      <w:pPr>
        <w:shd w:val="clear" w:color="auto" w:fill="FFFFFF"/>
        <w:tabs>
          <w:tab w:val="left" w:pos="993"/>
          <w:tab w:val="left" w:pos="1134"/>
        </w:tabs>
        <w:rPr>
          <w:rFonts w:ascii="Times New Roman" w:hAnsi="Times New Roman"/>
          <w:b/>
          <w:sz w:val="24"/>
          <w:szCs w:val="24"/>
        </w:rPr>
      </w:pPr>
      <w:r w:rsidRPr="00010A67">
        <w:rPr>
          <w:rFonts w:ascii="Times New Roman" w:hAnsi="Times New Roman"/>
          <w:b/>
          <w:sz w:val="24"/>
          <w:szCs w:val="24"/>
        </w:rPr>
        <w:t>ȘI EVALUARE A PROGRAMULUI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prezentului Program va fi efectuată de către Ministerul Sănătății prin intermediul Agenției Naționale pentru de Sănătate Publică în conformitate cu actele normative și prin evaluări selective a performanței activităților de imunizare în cadrul instituțiilor medico-sanitare de asistență medicală primară, spitalicească și al subdiviziunilor teritoriale ale Agenției Naționale pentru Sănătate Publică.</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Autoritățile responsabile de implementarea Programului, până la data de 15 martie a fiecărui an, vor remite nota informativă privind implementarea Programului Ministerului Sănătății;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Ministerului Sănătății va informa anual Guvernul, până la data de 31 martie, cu privire la realizarea  Programulu</w:t>
      </w:r>
      <w:sdt>
        <w:sdtPr>
          <w:rPr>
            <w:rFonts w:ascii="Times New Roman" w:hAnsi="Times New Roman"/>
            <w:sz w:val="24"/>
            <w:szCs w:val="24"/>
          </w:rPr>
          <w:tag w:val="goog_rdk_142"/>
          <w:id w:val="1458830168"/>
        </w:sdtPr>
        <w:sdtEndPr/>
        <w:sdtContent>
          <w:r w:rsidRPr="00010A67">
            <w:rPr>
              <w:rFonts w:ascii="Times New Roman" w:hAnsi="Times New Roman"/>
              <w:sz w:val="24"/>
              <w:szCs w:val="24"/>
            </w:rPr>
            <w:t>i.</w:t>
          </w:r>
        </w:sdtContent>
      </w:sdt>
      <w:r w:rsidRPr="00010A67">
        <w:rPr>
          <w:rFonts w:ascii="Times New Roman" w:hAnsi="Times New Roman"/>
          <w:sz w:val="24"/>
          <w:szCs w:val="24"/>
        </w:rPr>
        <w:t xml:space="preserve"> </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Prezentul Program va fi evaluat la mijlocul termenului de implementare (2024-2025) și la finele implementării, inclusiv cu participarea organismelor internaționale de referință în domeniu.</w:t>
      </w:r>
    </w:p>
    <w:p w:rsidR="00010A67" w:rsidRPr="00010A67" w:rsidRDefault="00010A67" w:rsidP="00010A67">
      <w:pPr>
        <w:numPr>
          <w:ilvl w:val="1"/>
          <w:numId w:val="23"/>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Performanța Programului va fi evaluată în baza indicatorilor de progres care vor reflecta realizarea activităților expuse în Planul de acțiuni privind implementarea Programului național de imunizări pentru anii 2023 -2027 (anexa nr. 2), a indicatorilor de rezultat ce vor monitoriza îndeplinirea obiectivelor specifice și a intervențiilor, precum și a indicatorilor de impact ce vor reflecta evoluția schimbărilor în starea de sănătate a populației în Republica Moldova.</w:t>
      </w:r>
    </w:p>
    <w:p w:rsidR="00010A67" w:rsidRPr="00010A67" w:rsidRDefault="00010A67" w:rsidP="00010A67">
      <w:pPr>
        <w:tabs>
          <w:tab w:val="left" w:pos="993"/>
          <w:tab w:val="left" w:pos="1134"/>
          <w:tab w:val="left" w:pos="6386"/>
        </w:tabs>
        <w:rPr>
          <w:rFonts w:ascii="Times New Roman" w:hAnsi="Times New Roman"/>
          <w:sz w:val="24"/>
          <w:szCs w:val="24"/>
        </w:rPr>
      </w:pPr>
    </w:p>
    <w:p w:rsidR="00010A67" w:rsidRPr="00010A67" w:rsidRDefault="00010A67" w:rsidP="00010A67">
      <w:pPr>
        <w:pStyle w:val="a5"/>
        <w:shd w:val="clear" w:color="auto" w:fill="FFFFFF" w:themeFill="background1"/>
        <w:spacing w:before="3"/>
      </w:pPr>
    </w:p>
    <w:p w:rsidR="007314B3" w:rsidRDefault="007314B3">
      <w:pPr>
        <w:jc w:val="left"/>
        <w:rPr>
          <w:rFonts w:ascii="Times New Roman" w:hAnsi="Times New Roman"/>
          <w:b/>
          <w:color w:val="000000" w:themeColor="text1"/>
          <w:sz w:val="28"/>
          <w:szCs w:val="28"/>
          <w:lang w:val="ro-RO"/>
        </w:rPr>
      </w:pPr>
    </w:p>
    <w:p w:rsidR="007314B3" w:rsidRDefault="007314B3">
      <w:pPr>
        <w:jc w:val="both"/>
        <w:rPr>
          <w:rFonts w:ascii="Times New Roman" w:hAnsi="Times New Roman"/>
          <w:bCs/>
          <w:color w:val="000000" w:themeColor="text1"/>
          <w:sz w:val="28"/>
          <w:szCs w:val="24"/>
          <w:lang w:val="ro-RO"/>
        </w:rPr>
      </w:pPr>
    </w:p>
    <w:p w:rsidR="00E75BED" w:rsidRDefault="00E75BED" w:rsidP="00E75BED">
      <w:pPr>
        <w:jc w:val="both"/>
        <w:rPr>
          <w:rFonts w:ascii="Times New Roman" w:hAnsi="Times New Roman"/>
          <w:bCs/>
          <w:color w:val="000000" w:themeColor="text1"/>
          <w:sz w:val="28"/>
          <w:szCs w:val="24"/>
          <w:lang w:val="ro-RO"/>
        </w:rPr>
      </w:pPr>
    </w:p>
    <w:p w:rsidR="00010A67" w:rsidRPr="00010A67" w:rsidRDefault="00010A67" w:rsidP="00E75BED">
      <w:pPr>
        <w:jc w:val="both"/>
        <w:rPr>
          <w:rFonts w:ascii="Times New Roman" w:hAnsi="Times New Roman"/>
          <w:b/>
          <w:sz w:val="28"/>
          <w:szCs w:val="28"/>
          <w:lang w:val="pt-BR"/>
        </w:rPr>
      </w:pPr>
    </w:p>
    <w:p w:rsidR="00D22A2F" w:rsidRPr="00E52EA9" w:rsidRDefault="00D22A2F" w:rsidP="00612D78">
      <w:pPr>
        <w:ind w:left="142"/>
        <w:rPr>
          <w:rFonts w:ascii="Times New Roman" w:hAnsi="Times New Roman"/>
          <w:b/>
          <w:sz w:val="28"/>
          <w:szCs w:val="28"/>
          <w:lang w:val="pt-BR"/>
        </w:rPr>
      </w:pPr>
      <w:r w:rsidRPr="00E52EA9">
        <w:rPr>
          <w:rFonts w:ascii="Times New Roman" w:hAnsi="Times New Roman"/>
          <w:b/>
          <w:sz w:val="28"/>
          <w:szCs w:val="28"/>
          <w:lang w:val="pt-BR"/>
        </w:rPr>
        <w:t>NOTA INFORMATIVĂ</w:t>
      </w:r>
    </w:p>
    <w:p w:rsidR="00E52EA9" w:rsidRDefault="00D22A2F" w:rsidP="00612D78">
      <w:pPr>
        <w:rPr>
          <w:rFonts w:ascii="Times New Roman" w:hAnsi="Times New Roman"/>
          <w:b/>
          <w:sz w:val="28"/>
          <w:szCs w:val="28"/>
          <w:lang w:val="pt-BR"/>
        </w:rPr>
      </w:pPr>
      <w:r w:rsidRPr="00E52EA9">
        <w:rPr>
          <w:rFonts w:ascii="Times New Roman" w:hAnsi="Times New Roman"/>
          <w:b/>
          <w:sz w:val="28"/>
          <w:szCs w:val="28"/>
          <w:lang w:val="pt-BR"/>
        </w:rPr>
        <w:t>la proiectul Deciziei nr. ____ din _____________2024</w:t>
      </w:r>
    </w:p>
    <w:p w:rsidR="00612D78" w:rsidRPr="00E52EA9" w:rsidRDefault="00612D78" w:rsidP="00612D78">
      <w:pPr>
        <w:rPr>
          <w:rFonts w:ascii="Times New Roman" w:hAnsi="Times New Roman"/>
          <w:b/>
          <w:sz w:val="28"/>
          <w:szCs w:val="28"/>
          <w:lang w:val="pt-BR"/>
        </w:rPr>
      </w:pPr>
    </w:p>
    <w:p w:rsidR="00D22A2F" w:rsidRDefault="00612D78" w:rsidP="00612D78">
      <w:pPr>
        <w:pStyle w:val="a5"/>
        <w:jc w:val="center"/>
        <w:outlineLvl w:val="0"/>
        <w:rPr>
          <w:b/>
          <w:sz w:val="28"/>
          <w:szCs w:val="28"/>
          <w:lang w:val="pt-BR" w:eastAsia="zh-CN"/>
        </w:rPr>
      </w:pPr>
      <w:r>
        <w:rPr>
          <w:sz w:val="28"/>
          <w:szCs w:val="28"/>
          <w:lang w:val="pt-BR" w:eastAsia="zh-CN"/>
        </w:rPr>
        <w:t>“</w:t>
      </w:r>
      <w:r w:rsidRPr="00E52EA9">
        <w:rPr>
          <w:b/>
          <w:bCs/>
          <w:color w:val="000000"/>
          <w:sz w:val="28"/>
          <w:szCs w:val="28"/>
          <w:lang w:eastAsia="zh-CN"/>
        </w:rPr>
        <w:t>Cu privire la aprobarea Programului terit</w:t>
      </w:r>
      <w:r>
        <w:rPr>
          <w:b/>
          <w:bCs/>
          <w:color w:val="000000"/>
          <w:sz w:val="28"/>
          <w:szCs w:val="28"/>
          <w:lang w:eastAsia="zh-CN"/>
        </w:rPr>
        <w:t xml:space="preserve">orial de imunizări în raionul </w:t>
      </w:r>
      <w:r>
        <w:rPr>
          <w:b/>
          <w:bCs/>
          <w:color w:val="000000"/>
          <w:sz w:val="28"/>
          <w:szCs w:val="28"/>
          <w:lang w:eastAsia="ru-RU"/>
        </w:rPr>
        <w:t>Hîncești pentru anii 2024-2027</w:t>
      </w:r>
      <w:r w:rsidRPr="00E52EA9">
        <w:rPr>
          <w:b/>
          <w:bCs/>
          <w:sz w:val="28"/>
          <w:szCs w:val="28"/>
          <w:lang w:val="pt-BR" w:eastAsia="zh-CN"/>
        </w:rPr>
        <w:t>”</w:t>
      </w:r>
    </w:p>
    <w:p w:rsidR="00612D78" w:rsidRPr="00D22A2F" w:rsidRDefault="00612D78" w:rsidP="00D22A2F">
      <w:pPr>
        <w:pStyle w:val="a5"/>
        <w:jc w:val="center"/>
        <w:outlineLvl w:val="0"/>
        <w:rPr>
          <w:b/>
          <w:sz w:val="28"/>
          <w:szCs w:val="28"/>
          <w:lang w:val="pt-BR" w:eastAsia="zh-CN"/>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1. Cauzele care au condiționat elaborarea proiectului, inițiatorii şi autorii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 xml:space="preserve">Inițiatorul proiectului de decizie este Preşedintele Raionului Raionului Hîncești. </w:t>
            </w:r>
            <w:r w:rsidRPr="00E52EA9">
              <w:rPr>
                <w:rFonts w:ascii="Times New Roman" w:hAnsi="Times New Roman"/>
                <w:sz w:val="28"/>
                <w:szCs w:val="28"/>
                <w:lang w:val="pt-BR"/>
              </w:rPr>
              <w:t>A</w:t>
            </w:r>
            <w:r w:rsidR="00E52EA9" w:rsidRPr="00E52EA9">
              <w:rPr>
                <w:rFonts w:ascii="Times New Roman" w:hAnsi="Times New Roman"/>
                <w:sz w:val="28"/>
                <w:szCs w:val="28"/>
                <w:lang w:val="pt-BR"/>
              </w:rPr>
              <w:t xml:space="preserve"> elaborat Proiectul de decizie Șeful Direcției </w:t>
            </w:r>
            <w:r w:rsidR="00E52EA9">
              <w:rPr>
                <w:rFonts w:ascii="Times New Roman" w:hAnsi="Times New Roman"/>
                <w:sz w:val="28"/>
                <w:szCs w:val="28"/>
                <w:lang w:val="pt-BR"/>
              </w:rPr>
              <w:t xml:space="preserve">Centrul de Sănătate Publică Hîncești, de comun cu </w:t>
            </w:r>
            <w:r w:rsidRPr="00E52EA9">
              <w:rPr>
                <w:rFonts w:ascii="Times New Roman" w:hAnsi="Times New Roman"/>
                <w:sz w:val="28"/>
                <w:szCs w:val="28"/>
                <w:lang w:val="pt-BR"/>
              </w:rPr>
              <w:t>Secretarul consiliului raional.</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2. Modul de reglementare a problemelor abordate în proiect de cadru normativ în vigoare</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E52EA9" w:rsidRPr="00E52EA9" w:rsidRDefault="00D22A2F"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pt-BR" w:eastAsia="zh-CN"/>
              </w:rPr>
              <w:t xml:space="preserve">Proiectul Deciziei </w:t>
            </w:r>
            <w:r w:rsidR="00612D78">
              <w:rPr>
                <w:rFonts w:ascii="Times New Roman" w:hAnsi="Times New Roman"/>
                <w:sz w:val="28"/>
                <w:szCs w:val="28"/>
                <w:lang w:val="pt-BR" w:eastAsia="zh-CN"/>
              </w:rPr>
              <w:t>“</w:t>
            </w:r>
            <w:r w:rsidR="00E52EA9" w:rsidRPr="00E52EA9">
              <w:rPr>
                <w:rFonts w:ascii="Times New Roman" w:eastAsia="Times New Roman" w:hAnsi="Times New Roman"/>
                <w:b/>
                <w:bCs/>
                <w:color w:val="000000"/>
                <w:sz w:val="28"/>
                <w:szCs w:val="28"/>
                <w:lang w:val="ro-RO" w:eastAsia="zh-CN"/>
              </w:rPr>
              <w:t>Cu privire la aprobarea Programului terit</w:t>
            </w:r>
            <w:r w:rsidR="00612D78">
              <w:rPr>
                <w:rFonts w:ascii="Times New Roman" w:eastAsia="Times New Roman" w:hAnsi="Times New Roman"/>
                <w:b/>
                <w:bCs/>
                <w:color w:val="000000"/>
                <w:sz w:val="28"/>
                <w:szCs w:val="28"/>
                <w:lang w:val="ro-RO" w:eastAsia="zh-CN"/>
              </w:rPr>
              <w:t xml:space="preserve">orial de imunizări în raionul </w:t>
            </w:r>
            <w:r w:rsidR="00612D78">
              <w:rPr>
                <w:rFonts w:ascii="Times New Roman" w:eastAsia="Times New Roman" w:hAnsi="Times New Roman"/>
                <w:b/>
                <w:bCs/>
                <w:color w:val="000000"/>
                <w:sz w:val="28"/>
                <w:szCs w:val="28"/>
                <w:lang w:val="ro-RO" w:eastAsia="ru-RU"/>
              </w:rPr>
              <w:t>Hîncești pentru anii 2024-2027</w:t>
            </w:r>
            <w:r w:rsidRPr="00E52EA9">
              <w:rPr>
                <w:rFonts w:ascii="Times New Roman" w:hAnsi="Times New Roman"/>
                <w:b/>
                <w:bCs/>
                <w:sz w:val="28"/>
                <w:szCs w:val="28"/>
                <w:lang w:val="pt-BR" w:eastAsia="zh-CN"/>
              </w:rPr>
              <w:t xml:space="preserve">” </w:t>
            </w:r>
            <w:r w:rsidRPr="00E52EA9">
              <w:rPr>
                <w:rFonts w:ascii="Times New Roman" w:hAnsi="Times New Roman"/>
                <w:sz w:val="28"/>
                <w:szCs w:val="28"/>
                <w:lang w:val="pt-BR" w:eastAsia="zh-CN"/>
              </w:rPr>
              <w:t xml:space="preserve">a fost elaborat în temeiul art. 43, art. 46 alin. </w:t>
            </w:r>
            <w:r w:rsidRPr="00E52EA9">
              <w:rPr>
                <w:rFonts w:ascii="Times New Roman" w:hAnsi="Times New Roman"/>
                <w:sz w:val="28"/>
                <w:szCs w:val="28"/>
                <w:lang w:val="pt-BR"/>
              </w:rPr>
              <w:t>(1) din Legea Republicii Moldova nr. 436-XVI din 28.12.2006 privi</w:t>
            </w:r>
            <w:r w:rsidR="00E52EA9" w:rsidRPr="00E52EA9">
              <w:rPr>
                <w:rFonts w:ascii="Times New Roman" w:hAnsi="Times New Roman"/>
                <w:sz w:val="28"/>
                <w:szCs w:val="28"/>
                <w:lang w:val="pt-BR"/>
              </w:rPr>
              <w:t>nd administraţia publică locală.</w:t>
            </w:r>
          </w:p>
          <w:p w:rsidR="00E52EA9" w:rsidRPr="00E61B77" w:rsidRDefault="00E52EA9" w:rsidP="00E52EA9">
            <w:pPr>
              <w:tabs>
                <w:tab w:val="left" w:pos="580"/>
              </w:tabs>
              <w:jc w:val="both"/>
              <w:rPr>
                <w:rFonts w:ascii="Times New Roman" w:hAnsi="Times New Roman"/>
                <w:sz w:val="28"/>
                <w:szCs w:val="28"/>
                <w:lang w:val="ro-RO"/>
              </w:rPr>
            </w:pPr>
            <w:r w:rsidRPr="00E61B77">
              <w:rPr>
                <w:rFonts w:ascii="Times New Roman" w:hAnsi="Times New Roman"/>
                <w:sz w:val="28"/>
                <w:szCs w:val="28"/>
                <w:lang w:val="ro-RO"/>
              </w:rPr>
              <w:t xml:space="preserve"> Principalele acte normative care stau la baza elaborării </w:t>
            </w:r>
            <w:r w:rsidR="00E61B77" w:rsidRPr="00E61B77">
              <w:rPr>
                <w:rFonts w:ascii="Times New Roman" w:eastAsia="Times New Roman" w:hAnsi="Times New Roman"/>
                <w:bCs/>
                <w:color w:val="000000"/>
                <w:sz w:val="28"/>
                <w:szCs w:val="28"/>
                <w:lang w:val="ro-RO" w:eastAsia="zh-CN"/>
              </w:rPr>
              <w:t xml:space="preserve">Programului teritorial de imunizări în raionul </w:t>
            </w:r>
            <w:r w:rsidR="00E61B77" w:rsidRPr="00E61B77">
              <w:rPr>
                <w:rFonts w:ascii="Times New Roman" w:eastAsia="Times New Roman" w:hAnsi="Times New Roman"/>
                <w:bCs/>
                <w:color w:val="000000"/>
                <w:sz w:val="28"/>
                <w:szCs w:val="28"/>
                <w:lang w:val="ro-RO" w:eastAsia="ru-RU"/>
              </w:rPr>
              <w:t>Hîncești pentru anii 2024-2027</w:t>
            </w:r>
            <w:r w:rsidRPr="00E61B77">
              <w:rPr>
                <w:rFonts w:ascii="Times New Roman" w:hAnsi="Times New Roman"/>
                <w:sz w:val="28"/>
                <w:szCs w:val="28"/>
                <w:lang w:val="ro-RO"/>
              </w:rPr>
              <w:t>, sunt:</w:t>
            </w:r>
          </w:p>
          <w:p w:rsidR="00E52EA9" w:rsidRPr="00E61B77" w:rsidRDefault="00E52EA9" w:rsidP="00E52EA9">
            <w:pPr>
              <w:tabs>
                <w:tab w:val="left" w:pos="580"/>
              </w:tabs>
              <w:jc w:val="both"/>
              <w:rPr>
                <w:rFonts w:ascii="Times New Roman" w:hAnsi="Times New Roman"/>
                <w:sz w:val="28"/>
                <w:szCs w:val="28"/>
                <w:lang w:val="ro-RO"/>
              </w:rPr>
            </w:pPr>
            <w:r w:rsidRPr="00E61B77">
              <w:rPr>
                <w:rFonts w:ascii="Times New Roman" w:hAnsi="Times New Roman"/>
                <w:sz w:val="28"/>
                <w:szCs w:val="28"/>
                <w:lang w:val="ro-RO"/>
              </w:rPr>
              <w:t xml:space="preserve"> </w:t>
            </w:r>
            <w:r w:rsidRPr="00E61B77">
              <w:rPr>
                <w:rFonts w:ascii="Times New Roman" w:hAnsi="Times New Roman"/>
                <w:sz w:val="28"/>
                <w:szCs w:val="28"/>
                <w:lang w:val="ro-RO"/>
              </w:rPr>
              <w:tab/>
              <w:t xml:space="preserve"> </w:t>
            </w:r>
          </w:p>
          <w:p w:rsidR="00612D78" w:rsidRPr="00612D78" w:rsidRDefault="00261F95" w:rsidP="00612D78">
            <w:pPr>
              <w:pStyle w:val="af2"/>
              <w:numPr>
                <w:ilvl w:val="0"/>
                <w:numId w:val="38"/>
              </w:numPr>
              <w:jc w:val="both"/>
              <w:rPr>
                <w:rFonts w:ascii="Times New Roman" w:hAnsi="Times New Roman"/>
                <w:color w:val="000000"/>
                <w:sz w:val="28"/>
                <w:szCs w:val="28"/>
                <w:lang w:val="ro-RO" w:eastAsia="zh-CN"/>
              </w:rPr>
            </w:pPr>
            <w:r>
              <w:rPr>
                <w:rFonts w:ascii="Times New Roman" w:hAnsi="Times New Roman"/>
                <w:color w:val="000000"/>
                <w:sz w:val="28"/>
                <w:szCs w:val="28"/>
                <w:lang w:val="ro-RO" w:eastAsia="zh-CN"/>
              </w:rPr>
              <w:t>Legea</w:t>
            </w:r>
            <w:r w:rsidR="00612D78" w:rsidRPr="00612D78">
              <w:rPr>
                <w:rFonts w:ascii="Times New Roman" w:hAnsi="Times New Roman"/>
                <w:color w:val="000000"/>
                <w:sz w:val="28"/>
                <w:szCs w:val="28"/>
                <w:lang w:val="ro-RO" w:eastAsia="zh-CN"/>
              </w:rPr>
              <w:t xml:space="preserve"> nr. 436/2006 ,,privind administraţia  publică locală”, </w:t>
            </w:r>
          </w:p>
          <w:p w:rsidR="00612D78" w:rsidRPr="00612D78" w:rsidRDefault="00261F95" w:rsidP="00612D78">
            <w:pPr>
              <w:pStyle w:val="af2"/>
              <w:numPr>
                <w:ilvl w:val="0"/>
                <w:numId w:val="38"/>
              </w:numPr>
              <w:jc w:val="both"/>
              <w:rPr>
                <w:rFonts w:ascii="Times New Roman" w:hAnsi="Times New Roman"/>
                <w:sz w:val="28"/>
                <w:szCs w:val="28"/>
                <w:lang w:eastAsia="zh-CN"/>
              </w:rPr>
            </w:pPr>
            <w:r>
              <w:rPr>
                <w:rFonts w:ascii="Times New Roman" w:hAnsi="Times New Roman"/>
                <w:sz w:val="28"/>
                <w:szCs w:val="28"/>
                <w:lang w:eastAsia="zh-CN"/>
              </w:rPr>
              <w:t>Legea</w:t>
            </w:r>
            <w:r w:rsidR="00612D78" w:rsidRPr="00612D78">
              <w:rPr>
                <w:rFonts w:ascii="Times New Roman" w:hAnsi="Times New Roman"/>
                <w:sz w:val="28"/>
                <w:szCs w:val="28"/>
                <w:lang w:eastAsia="zh-CN"/>
              </w:rPr>
              <w:t xml:space="preserve"> ocrotirii sănătății nr. 411-XIII din 28 martie 1955, </w:t>
            </w:r>
          </w:p>
          <w:p w:rsidR="00612D78" w:rsidRPr="00612D78" w:rsidRDefault="00261F95" w:rsidP="00612D78">
            <w:pPr>
              <w:pStyle w:val="af2"/>
              <w:numPr>
                <w:ilvl w:val="0"/>
                <w:numId w:val="38"/>
              </w:numPr>
              <w:jc w:val="both"/>
              <w:rPr>
                <w:rFonts w:ascii="Times New Roman" w:hAnsi="Times New Roman"/>
                <w:sz w:val="28"/>
                <w:szCs w:val="28"/>
                <w:lang w:val="ro-RO" w:eastAsia="zh-CN"/>
              </w:rPr>
            </w:pPr>
            <w:r>
              <w:rPr>
                <w:rFonts w:ascii="Times New Roman" w:hAnsi="Times New Roman"/>
                <w:sz w:val="28"/>
                <w:szCs w:val="28"/>
                <w:lang w:eastAsia="zh-CN"/>
              </w:rPr>
              <w:t>Legea</w:t>
            </w:r>
            <w:r w:rsidR="00612D78" w:rsidRPr="00612D78">
              <w:rPr>
                <w:rFonts w:ascii="Times New Roman" w:hAnsi="Times New Roman"/>
                <w:sz w:val="28"/>
                <w:szCs w:val="28"/>
                <w:lang w:eastAsia="zh-CN"/>
              </w:rPr>
              <w:t xml:space="preserve"> privind supraveghere de stat a sănătății publice nr. 10 -XVI din 3 februarie 2009</w:t>
            </w:r>
            <w:r w:rsidR="00612D78" w:rsidRPr="00612D78">
              <w:rPr>
                <w:rFonts w:ascii="Times New Roman" w:hAnsi="Times New Roman"/>
                <w:sz w:val="28"/>
                <w:szCs w:val="28"/>
                <w:lang w:val="ro-RO" w:eastAsia="zh-CN"/>
              </w:rPr>
              <w:t>,</w:t>
            </w:r>
          </w:p>
          <w:p w:rsidR="00612D78" w:rsidRPr="00612D78" w:rsidRDefault="00612D78" w:rsidP="00612D78">
            <w:pPr>
              <w:pStyle w:val="af2"/>
              <w:numPr>
                <w:ilvl w:val="0"/>
                <w:numId w:val="38"/>
              </w:numPr>
              <w:jc w:val="both"/>
              <w:rPr>
                <w:rFonts w:ascii="Times New Roman" w:hAnsi="Times New Roman"/>
                <w:sz w:val="28"/>
                <w:szCs w:val="28"/>
                <w:lang w:val="ro-RO" w:eastAsia="zh-CN"/>
              </w:rPr>
            </w:pPr>
            <w:r>
              <w:rPr>
                <w:rFonts w:ascii="Times New Roman" w:hAnsi="Times New Roman"/>
                <w:sz w:val="28"/>
                <w:szCs w:val="28"/>
                <w:lang w:eastAsia="zh-CN"/>
              </w:rPr>
              <w:t>Programul</w:t>
            </w:r>
            <w:r w:rsidRPr="00612D78">
              <w:rPr>
                <w:rFonts w:ascii="Times New Roman" w:hAnsi="Times New Roman"/>
                <w:sz w:val="28"/>
                <w:szCs w:val="28"/>
                <w:lang w:eastAsia="zh-CN"/>
              </w:rPr>
              <w:t xml:space="preserve"> Național de imunizări pentru anii 2023-2027, aprobat prin Hotărîrea Guvernului Republicii Moldova nr. 211 din 12 aprilie 2024</w:t>
            </w:r>
            <w:r w:rsidRPr="00612D78">
              <w:rPr>
                <w:rFonts w:ascii="Times New Roman" w:hAnsi="Times New Roman"/>
                <w:sz w:val="28"/>
                <w:szCs w:val="28"/>
                <w:lang w:val="ro-RO" w:eastAsia="zh-CN"/>
              </w:rPr>
              <w:t>.</w:t>
            </w:r>
          </w:p>
          <w:p w:rsidR="00D22A2F" w:rsidRPr="00E52EA9" w:rsidRDefault="00D22A2F" w:rsidP="00E52EA9">
            <w:pPr>
              <w:jc w:val="both"/>
              <w:rPr>
                <w:rFonts w:ascii="Times New Roman" w:eastAsia="Times New Roman" w:hAnsi="Times New Roman"/>
                <w:b/>
                <w:bCs/>
                <w:color w:val="000000"/>
                <w:sz w:val="28"/>
                <w:szCs w:val="28"/>
                <w:lang w:val="ro-RO" w:eastAsia="ru-RU"/>
              </w:rPr>
            </w:pP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rPr>
            </w:pPr>
            <w:r w:rsidRPr="00D22A2F">
              <w:rPr>
                <w:rFonts w:ascii="Times New Roman" w:hAnsi="Times New Roman"/>
                <w:b/>
                <w:sz w:val="28"/>
                <w:szCs w:val="28"/>
              </w:rPr>
              <w:t xml:space="preserve">3. Scopul şi obiectivele proiectului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314692" w:rsidRPr="00E61B77" w:rsidRDefault="00D22A2F" w:rsidP="00314692">
            <w:pPr>
              <w:pStyle w:val="af0"/>
              <w:tabs>
                <w:tab w:val="left" w:pos="1134"/>
              </w:tabs>
              <w:ind w:left="-108"/>
              <w:rPr>
                <w:color w:val="000000"/>
                <w:sz w:val="28"/>
                <w:szCs w:val="28"/>
                <w:lang w:val="ro-RO"/>
              </w:rPr>
            </w:pPr>
            <w:r w:rsidRPr="00314692">
              <w:rPr>
                <w:sz w:val="28"/>
                <w:szCs w:val="28"/>
                <w:lang w:val="ro-RO"/>
              </w:rPr>
              <w:t xml:space="preserve">Necesitatea elaborării și adoptării proiectului de decizie </w:t>
            </w:r>
            <w:r w:rsidR="00E61B77">
              <w:rPr>
                <w:sz w:val="28"/>
                <w:szCs w:val="28"/>
                <w:lang w:val="pt-BR" w:eastAsia="zh-CN"/>
              </w:rPr>
              <w:t>“</w:t>
            </w:r>
            <w:r w:rsidR="00E61B77" w:rsidRPr="00E52EA9">
              <w:rPr>
                <w:b/>
                <w:bCs/>
                <w:color w:val="000000"/>
                <w:sz w:val="28"/>
                <w:szCs w:val="28"/>
                <w:lang w:val="ro-RO" w:eastAsia="zh-CN"/>
              </w:rPr>
              <w:t>Cu privire la aprobarea Programului terit</w:t>
            </w:r>
            <w:r w:rsidR="00E61B77">
              <w:rPr>
                <w:b/>
                <w:bCs/>
                <w:color w:val="000000"/>
                <w:sz w:val="28"/>
                <w:szCs w:val="28"/>
                <w:lang w:val="ro-RO" w:eastAsia="zh-CN"/>
              </w:rPr>
              <w:t xml:space="preserve">orial de imunizări în raionul </w:t>
            </w:r>
            <w:r w:rsidR="00E61B77">
              <w:rPr>
                <w:b/>
                <w:bCs/>
                <w:color w:val="000000"/>
                <w:sz w:val="28"/>
                <w:szCs w:val="28"/>
                <w:lang w:val="ro-RO"/>
              </w:rPr>
              <w:t>Hîncești pentru anii 2024-2027</w:t>
            </w:r>
            <w:r w:rsidR="00E61B77" w:rsidRPr="00E52EA9">
              <w:rPr>
                <w:b/>
                <w:bCs/>
                <w:sz w:val="28"/>
                <w:szCs w:val="28"/>
                <w:lang w:val="pt-BR" w:eastAsia="zh-CN"/>
              </w:rPr>
              <w:t xml:space="preserve">” </w:t>
            </w:r>
            <w:r w:rsidR="00E52EA9" w:rsidRPr="00314692">
              <w:rPr>
                <w:b/>
                <w:bCs/>
                <w:sz w:val="28"/>
                <w:szCs w:val="28"/>
                <w:lang w:val="pt-BR" w:eastAsia="zh-CN"/>
              </w:rPr>
              <w:t xml:space="preserve"> </w:t>
            </w:r>
            <w:r w:rsidRPr="00314692">
              <w:rPr>
                <w:bCs/>
                <w:sz w:val="28"/>
                <w:szCs w:val="28"/>
                <w:lang w:val="pt-BR"/>
              </w:rPr>
              <w:t xml:space="preserve">este generată de </w:t>
            </w:r>
            <w:r w:rsidR="00E61B77">
              <w:rPr>
                <w:bCs/>
                <w:color w:val="000000"/>
                <w:sz w:val="28"/>
                <w:szCs w:val="28"/>
                <w:lang w:val="ro-RO" w:eastAsia="zh-CN"/>
              </w:rPr>
              <w:t>Programul</w:t>
            </w:r>
            <w:r w:rsidR="00E61B77" w:rsidRPr="00E61B77">
              <w:rPr>
                <w:bCs/>
                <w:color w:val="000000"/>
                <w:sz w:val="28"/>
                <w:szCs w:val="28"/>
                <w:lang w:val="ro-RO" w:eastAsia="zh-CN"/>
              </w:rPr>
              <w:t xml:space="preserve"> teritorial de imunizări</w:t>
            </w:r>
            <w:r w:rsidR="00E61B77" w:rsidRPr="00E61B77">
              <w:rPr>
                <w:color w:val="373737"/>
                <w:sz w:val="28"/>
                <w:szCs w:val="28"/>
                <w:lang w:val="ro-RO" w:eastAsia="ro-RO"/>
              </w:rPr>
              <w:t> </w:t>
            </w:r>
            <w:r w:rsidR="00261F95" w:rsidRPr="00E61B77">
              <w:rPr>
                <w:color w:val="373737"/>
                <w:sz w:val="28"/>
                <w:szCs w:val="28"/>
                <w:lang w:val="ro-RO" w:eastAsia="ro-RO"/>
              </w:rPr>
              <w:t xml:space="preserve"> </w:t>
            </w:r>
            <w:r w:rsidR="00E61B77" w:rsidRPr="00E61B77">
              <w:rPr>
                <w:color w:val="373737"/>
                <w:sz w:val="28"/>
                <w:szCs w:val="28"/>
                <w:lang w:val="ro-RO" w:eastAsia="ro-RO"/>
              </w:rPr>
              <w:t>aprobat de catre Guvernul RM pe anii 2023-2027.</w:t>
            </w:r>
          </w:p>
          <w:p w:rsidR="00261F95" w:rsidRDefault="00E61B77" w:rsidP="00E61B77">
            <w:pPr>
              <w:shd w:val="clear" w:color="auto" w:fill="FFFFFF"/>
              <w:spacing w:before="100" w:beforeAutospacing="1" w:after="100" w:afterAutospacing="1"/>
              <w:jc w:val="both"/>
              <w:rPr>
                <w:rFonts w:ascii="Times New Roman" w:eastAsia="Times New Roman" w:hAnsi="Times New Roman"/>
                <w:color w:val="373737"/>
                <w:sz w:val="28"/>
                <w:szCs w:val="28"/>
                <w:lang w:val="ro-RO" w:eastAsia="ro-RO"/>
              </w:rPr>
            </w:pPr>
            <w:r>
              <w:rPr>
                <w:rFonts w:ascii="Times New Roman" w:eastAsia="Times New Roman" w:hAnsi="Times New Roman"/>
                <w:color w:val="373737"/>
                <w:sz w:val="28"/>
                <w:szCs w:val="28"/>
                <w:lang w:val="ro-RO" w:eastAsia="ro-RO"/>
              </w:rPr>
              <w:t>Prevenirea maladiilor infecțioase pe calea imunizării este cea mai eficientă contribuț</w:t>
            </w:r>
            <w:r w:rsidRPr="00E61B77">
              <w:rPr>
                <w:rFonts w:ascii="Times New Roman" w:eastAsia="Times New Roman" w:hAnsi="Times New Roman"/>
                <w:color w:val="373737"/>
                <w:sz w:val="28"/>
                <w:szCs w:val="28"/>
                <w:lang w:val="ro-RO" w:eastAsia="ro-RO"/>
              </w:rPr>
              <w:t>ie i</w:t>
            </w:r>
            <w:r>
              <w:rPr>
                <w:rFonts w:ascii="Times New Roman" w:eastAsia="Times New Roman" w:hAnsi="Times New Roman"/>
                <w:color w:val="373737"/>
                <w:sz w:val="28"/>
                <w:szCs w:val="28"/>
                <w:lang w:val="ro-RO" w:eastAsia="ro-RO"/>
              </w:rPr>
              <w:t>în sanatatea publică. Imunizarea sistematică a populației facilitează micșorarea semnificativă a morbidității cu maladii infecț</w:t>
            </w:r>
            <w:r w:rsidRPr="00E61B77">
              <w:rPr>
                <w:rFonts w:ascii="Times New Roman" w:eastAsia="Times New Roman" w:hAnsi="Times New Roman"/>
                <w:color w:val="373737"/>
                <w:sz w:val="28"/>
                <w:szCs w:val="28"/>
                <w:lang w:val="ro-RO" w:eastAsia="ro-RO"/>
              </w:rPr>
              <w:t>ioase, prevenite prin vaccinare, mortali</w:t>
            </w:r>
            <w:r>
              <w:rPr>
                <w:rFonts w:ascii="Times New Roman" w:eastAsia="Times New Roman" w:hAnsi="Times New Roman"/>
                <w:color w:val="373737"/>
                <w:sz w:val="28"/>
                <w:szCs w:val="28"/>
                <w:lang w:val="ro-RO" w:eastAsia="ro-RO"/>
              </w:rPr>
              <w:t>tății și invalidității î</w:t>
            </w:r>
            <w:r w:rsidRPr="00E61B77">
              <w:rPr>
                <w:rFonts w:ascii="Times New Roman" w:eastAsia="Times New Roman" w:hAnsi="Times New Roman"/>
                <w:color w:val="373737"/>
                <w:sz w:val="28"/>
                <w:szCs w:val="28"/>
                <w:lang w:val="ro-RO" w:eastAsia="ro-RO"/>
              </w:rPr>
              <w:t xml:space="preserve">n </w:t>
            </w:r>
            <w:r>
              <w:rPr>
                <w:rFonts w:ascii="Times New Roman" w:eastAsia="Times New Roman" w:hAnsi="Times New Roman"/>
                <w:color w:val="373737"/>
                <w:sz w:val="28"/>
                <w:szCs w:val="28"/>
                <w:lang w:val="ro-RO" w:eastAsia="ro-RO"/>
              </w:rPr>
              <w:t>urma acestor maladii, precum și micșorarea semnificativă a daunei sociale ș</w:t>
            </w:r>
            <w:r w:rsidRPr="00E61B77">
              <w:rPr>
                <w:rFonts w:ascii="Times New Roman" w:eastAsia="Times New Roman" w:hAnsi="Times New Roman"/>
                <w:color w:val="373737"/>
                <w:sz w:val="28"/>
                <w:szCs w:val="28"/>
                <w:lang w:val="ro-RO" w:eastAsia="ro-RO"/>
              </w:rPr>
              <w:t>i economice cauzate de aceste maladii.</w:t>
            </w:r>
          </w:p>
          <w:p w:rsidR="00D22A2F" w:rsidRPr="00E61B77" w:rsidRDefault="00E61B77" w:rsidP="00E61B77">
            <w:pPr>
              <w:shd w:val="clear" w:color="auto" w:fill="FFFFFF"/>
              <w:spacing w:before="100" w:beforeAutospacing="1" w:after="100" w:afterAutospacing="1"/>
              <w:jc w:val="both"/>
              <w:rPr>
                <w:rFonts w:ascii="Times New Roman" w:eastAsia="Times New Roman" w:hAnsi="Times New Roman"/>
                <w:color w:val="373737"/>
                <w:sz w:val="28"/>
                <w:szCs w:val="28"/>
                <w:lang w:val="ro-RO" w:eastAsia="ro-RO"/>
              </w:rPr>
            </w:pPr>
            <w:r w:rsidRPr="00E61B77">
              <w:rPr>
                <w:rFonts w:ascii="Times New Roman" w:eastAsia="Times New Roman" w:hAnsi="Times New Roman"/>
                <w:color w:val="373737"/>
                <w:sz w:val="28"/>
                <w:szCs w:val="28"/>
                <w:lang w:val="ro-RO" w:eastAsia="ro-RO"/>
              </w:rPr>
              <w:t>Prezentul Program are drept scop eliminarea sau reducerea morbidităţii, invalidităţii şi mortalităţii prin asigurarea populaţiei cu imunizări obligatorii, garantate de stat, contra tuberculozei, hepatitei virale B, poliomielitei, difteriei, tetanosului, tusei convulsive, rujeolei, oreionului, rubeolei, infecţiilor cu </w:t>
            </w:r>
            <w:r w:rsidRPr="00E61B77">
              <w:rPr>
                <w:rFonts w:ascii="Times New Roman" w:eastAsia="Times New Roman" w:hAnsi="Times New Roman"/>
                <w:i/>
                <w:iCs/>
                <w:color w:val="373737"/>
                <w:sz w:val="28"/>
                <w:szCs w:val="28"/>
                <w:lang w:val="ro-RO" w:eastAsia="ro-RO"/>
              </w:rPr>
              <w:t>Haemophilus influenzae </w:t>
            </w:r>
            <w:r w:rsidRPr="00E61B77">
              <w:rPr>
                <w:rFonts w:ascii="Times New Roman" w:eastAsia="Times New Roman" w:hAnsi="Times New Roman"/>
                <w:color w:val="373737"/>
                <w:sz w:val="28"/>
                <w:szCs w:val="28"/>
                <w:lang w:val="ro-RO" w:eastAsia="ro-RO"/>
              </w:rPr>
              <w:t xml:space="preserve">tip b, cu rotavirus, cu </w:t>
            </w:r>
            <w:r w:rsidRPr="00E61B77">
              <w:rPr>
                <w:rFonts w:ascii="Times New Roman" w:eastAsia="Times New Roman" w:hAnsi="Times New Roman"/>
                <w:color w:val="373737"/>
                <w:sz w:val="28"/>
                <w:szCs w:val="28"/>
                <w:lang w:val="ro-RO" w:eastAsia="ro-RO"/>
              </w:rPr>
              <w:lastRenderedPageBreak/>
              <w:t>pneumococi, precum şi prin imunizări suplimentare din indicaţii epidemice a contingentelor cu risc sporit privind îmbolnăvirea, răspîndirea infecţiei şi decesul.</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lastRenderedPageBreak/>
              <w:t>4. Estimarea riscurilor legate de implementarea acestui proiect</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Riscuri estimate nu sunt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5. Modul de incorporare a proiectului în sistemul actelor normative în vigoare, actele normative  care trebuie elaborate sau modificate după adoptarea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314692" w:rsidRPr="00314692" w:rsidRDefault="00D22A2F" w:rsidP="00E52EA9">
            <w:pPr>
              <w:pStyle w:val="a5"/>
              <w:ind w:right="120"/>
              <w:outlineLvl w:val="0"/>
              <w:rPr>
                <w:bCs/>
                <w:sz w:val="28"/>
                <w:szCs w:val="28"/>
                <w:lang w:val="pt-BR"/>
              </w:rPr>
            </w:pPr>
            <w:r w:rsidRPr="00314692">
              <w:rPr>
                <w:sz w:val="28"/>
                <w:szCs w:val="28"/>
                <w:lang w:val="fr-FR"/>
              </w:rPr>
              <w:t>Proiectul de decizie nr. _____ din _________2024</w:t>
            </w:r>
            <w:r w:rsidR="00314692" w:rsidRPr="00314692">
              <w:rPr>
                <w:sz w:val="28"/>
                <w:szCs w:val="28"/>
                <w:lang w:val="fr-FR"/>
              </w:rPr>
              <w:t xml:space="preserve">, </w:t>
            </w:r>
            <w:r w:rsidR="00261F95">
              <w:rPr>
                <w:sz w:val="28"/>
                <w:szCs w:val="28"/>
                <w:lang w:val="pt-BR" w:eastAsia="zh-CN"/>
              </w:rPr>
              <w:t>“</w:t>
            </w:r>
            <w:r w:rsidR="00261F95" w:rsidRPr="00E52EA9">
              <w:rPr>
                <w:b/>
                <w:bCs/>
                <w:color w:val="000000"/>
                <w:sz w:val="28"/>
                <w:szCs w:val="28"/>
                <w:lang w:eastAsia="zh-CN"/>
              </w:rPr>
              <w:t>Cu privire la aprobarea Programului terit</w:t>
            </w:r>
            <w:r w:rsidR="00261F95">
              <w:rPr>
                <w:b/>
                <w:bCs/>
                <w:color w:val="000000"/>
                <w:sz w:val="28"/>
                <w:szCs w:val="28"/>
                <w:lang w:eastAsia="zh-CN"/>
              </w:rPr>
              <w:t xml:space="preserve">orial de imunizări în raionul </w:t>
            </w:r>
            <w:r w:rsidR="00261F95">
              <w:rPr>
                <w:b/>
                <w:bCs/>
                <w:color w:val="000000"/>
                <w:sz w:val="28"/>
                <w:szCs w:val="28"/>
                <w:lang w:eastAsia="ru-RU"/>
              </w:rPr>
              <w:t>Hîncești pentru anii 2024-2027</w:t>
            </w:r>
            <w:r w:rsidR="00261F95" w:rsidRPr="00E52EA9">
              <w:rPr>
                <w:b/>
                <w:bCs/>
                <w:sz w:val="28"/>
                <w:szCs w:val="28"/>
                <w:lang w:val="pt-BR" w:eastAsia="zh-CN"/>
              </w:rPr>
              <w:t>”</w:t>
            </w:r>
            <w:r w:rsidR="00261F95">
              <w:rPr>
                <w:b/>
                <w:bCs/>
                <w:sz w:val="28"/>
                <w:szCs w:val="28"/>
                <w:lang w:val="pt-BR" w:eastAsia="zh-CN"/>
              </w:rPr>
              <w:t xml:space="preserve"> </w:t>
            </w:r>
            <w:r w:rsidRPr="00314692">
              <w:rPr>
                <w:bCs/>
                <w:sz w:val="28"/>
                <w:szCs w:val="28"/>
                <w:lang w:val="pt-BR"/>
              </w:rPr>
              <w:t xml:space="preserve">nu contravine şi nu necesită modificări ale actelor normative în vigoare. </w:t>
            </w:r>
          </w:p>
          <w:p w:rsidR="00D22A2F" w:rsidRPr="00314692" w:rsidRDefault="00314692" w:rsidP="00E52EA9">
            <w:pPr>
              <w:pStyle w:val="a5"/>
              <w:ind w:right="120"/>
              <w:outlineLvl w:val="0"/>
              <w:rPr>
                <w:bCs/>
                <w:sz w:val="28"/>
                <w:szCs w:val="28"/>
                <w:lang w:val="pt-BR"/>
              </w:rPr>
            </w:pPr>
            <w:r w:rsidRPr="00314692">
              <w:rPr>
                <w:sz w:val="28"/>
                <w:szCs w:val="28"/>
              </w:rPr>
              <w:t xml:space="preserve">Nota informativă, proiectul de decizie </w:t>
            </w:r>
            <w:r w:rsidR="00261F95">
              <w:rPr>
                <w:sz w:val="28"/>
                <w:szCs w:val="28"/>
              </w:rPr>
              <w:t xml:space="preserve">al </w:t>
            </w:r>
            <w:r w:rsidR="00261F95" w:rsidRPr="00261F95">
              <w:rPr>
                <w:bCs/>
                <w:color w:val="000000"/>
                <w:sz w:val="28"/>
                <w:szCs w:val="28"/>
                <w:lang w:eastAsia="zh-CN"/>
              </w:rPr>
              <w:t xml:space="preserve">Programului teritorial de imunizări în raionul </w:t>
            </w:r>
            <w:r w:rsidR="00261F95" w:rsidRPr="00261F95">
              <w:rPr>
                <w:bCs/>
                <w:color w:val="000000"/>
                <w:sz w:val="28"/>
                <w:szCs w:val="28"/>
                <w:lang w:eastAsia="ru-RU"/>
              </w:rPr>
              <w:t>Hîncești pentru anii 2024-2027</w:t>
            </w:r>
            <w:r w:rsidR="00261F95" w:rsidRPr="00261F95">
              <w:rPr>
                <w:bCs/>
                <w:sz w:val="28"/>
                <w:szCs w:val="28"/>
                <w:lang w:val="pt-BR" w:eastAsia="zh-CN"/>
              </w:rPr>
              <w:t xml:space="preserve">” </w:t>
            </w:r>
            <w:r w:rsidRPr="00314692">
              <w:rPr>
                <w:sz w:val="28"/>
                <w:szCs w:val="28"/>
              </w:rPr>
              <w:t xml:space="preserve">vor fi plasate pe pagina web a </w:t>
            </w:r>
            <w:r w:rsidRPr="00314692">
              <w:rPr>
                <w:rFonts w:eastAsia="Calibri"/>
                <w:sz w:val="28"/>
                <w:szCs w:val="28"/>
              </w:rPr>
              <w:t xml:space="preserve">Consiliului raional Hîncești  </w:t>
            </w:r>
            <w:hyperlink r:id="rId15" w:history="1">
              <w:r w:rsidRPr="00314692">
                <w:rPr>
                  <w:rStyle w:val="af"/>
                  <w:rFonts w:eastAsia="Calibri"/>
                  <w:sz w:val="28"/>
                  <w:szCs w:val="28"/>
                </w:rPr>
                <w:t>www.hincesti.md</w:t>
              </w:r>
            </w:hyperlink>
            <w:r w:rsidRPr="00314692">
              <w:rPr>
                <w:rFonts w:eastAsia="Calibri"/>
                <w:sz w:val="28"/>
                <w:szCs w:val="28"/>
              </w:rPr>
              <w:t xml:space="preserve"> pentru consultări publice.</w:t>
            </w:r>
          </w:p>
          <w:p w:rsidR="00D22A2F" w:rsidRPr="00D22A2F" w:rsidRDefault="00D22A2F" w:rsidP="00E52EA9">
            <w:pPr>
              <w:pStyle w:val="a5"/>
              <w:ind w:right="120"/>
              <w:outlineLvl w:val="0"/>
              <w:rPr>
                <w:b/>
                <w:sz w:val="28"/>
                <w:szCs w:val="28"/>
              </w:rPr>
            </w:pPr>
          </w:p>
        </w:tc>
      </w:tr>
    </w:tbl>
    <w:p w:rsidR="00D22A2F" w:rsidRPr="00D22A2F" w:rsidRDefault="00D22A2F" w:rsidP="00D22A2F">
      <w:pPr>
        <w:rPr>
          <w:rFonts w:ascii="Times New Roman" w:hAnsi="Times New Roman"/>
          <w:b/>
          <w:sz w:val="28"/>
          <w:szCs w:val="28"/>
          <w:lang w:val="it-IT"/>
        </w:rPr>
      </w:pPr>
      <w:r w:rsidRPr="00D22A2F">
        <w:rPr>
          <w:rFonts w:ascii="Times New Roman" w:hAnsi="Times New Roman"/>
          <w:b/>
          <w:sz w:val="28"/>
          <w:szCs w:val="28"/>
          <w:lang w:val="it-IT"/>
        </w:rPr>
        <w:t xml:space="preserve">                    </w:t>
      </w:r>
    </w:p>
    <w:p w:rsidR="00D22A2F" w:rsidRPr="00D22A2F" w:rsidRDefault="00D22A2F" w:rsidP="00756667">
      <w:pPr>
        <w:jc w:val="both"/>
        <w:rPr>
          <w:rFonts w:ascii="Times New Roman" w:hAnsi="Times New Roman"/>
          <w:b/>
          <w:sz w:val="28"/>
          <w:szCs w:val="28"/>
          <w:lang w:val="it-IT"/>
        </w:rPr>
      </w:pPr>
    </w:p>
    <w:p w:rsidR="00D22A2F" w:rsidRPr="00D22A2F" w:rsidRDefault="00D22A2F" w:rsidP="00A8212C">
      <w:pPr>
        <w:jc w:val="left"/>
        <w:rPr>
          <w:rFonts w:ascii="Times New Roman" w:hAnsi="Times New Roman"/>
          <w:b/>
          <w:sz w:val="28"/>
          <w:szCs w:val="28"/>
          <w:lang w:val="it-IT"/>
        </w:rPr>
      </w:pPr>
      <w:r w:rsidRPr="00D22A2F">
        <w:rPr>
          <w:rFonts w:ascii="Times New Roman" w:hAnsi="Times New Roman"/>
          <w:b/>
          <w:sz w:val="28"/>
          <w:szCs w:val="28"/>
          <w:lang w:val="it-IT"/>
        </w:rPr>
        <w:t xml:space="preserve">                 Secretarul</w:t>
      </w:r>
    </w:p>
    <w:p w:rsidR="00D22A2F" w:rsidRPr="00756667" w:rsidRDefault="00D22A2F" w:rsidP="00756667">
      <w:pPr>
        <w:jc w:val="left"/>
        <w:rPr>
          <w:rFonts w:ascii="Times New Roman" w:hAnsi="Times New Roman"/>
          <w:b/>
          <w:sz w:val="28"/>
          <w:szCs w:val="28"/>
          <w:lang w:val="it-IT"/>
        </w:rPr>
      </w:pPr>
      <w:r w:rsidRPr="00D22A2F">
        <w:rPr>
          <w:rFonts w:ascii="Times New Roman" w:hAnsi="Times New Roman"/>
          <w:b/>
          <w:sz w:val="28"/>
          <w:szCs w:val="28"/>
          <w:lang w:val="it-IT"/>
        </w:rPr>
        <w:t xml:space="preserve">   Consiliului Raional Hînceşti   </w:t>
      </w:r>
      <w:r w:rsidRPr="00D22A2F">
        <w:rPr>
          <w:rFonts w:ascii="Times New Roman" w:hAnsi="Times New Roman"/>
          <w:sz w:val="28"/>
          <w:szCs w:val="28"/>
          <w:lang w:val="it-IT"/>
        </w:rPr>
        <w:t xml:space="preserve">                                    </w:t>
      </w:r>
      <w:r w:rsidRPr="00D22A2F">
        <w:rPr>
          <w:rFonts w:ascii="Times New Roman" w:hAnsi="Times New Roman"/>
          <w:b/>
          <w:sz w:val="28"/>
          <w:szCs w:val="28"/>
          <w:lang w:val="it-IT"/>
        </w:rPr>
        <w:t>Elena MORARU TOMA</w:t>
      </w:r>
    </w:p>
    <w:sectPr w:rsidR="00D22A2F" w:rsidRPr="00756667">
      <w:footerReference w:type="default" r:id="rId16"/>
      <w:pgSz w:w="11906" w:h="16838"/>
      <w:pgMar w:top="851" w:right="850"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1C" w:rsidRDefault="00D6351C">
      <w:r>
        <w:separator/>
      </w:r>
    </w:p>
  </w:endnote>
  <w:endnote w:type="continuationSeparator" w:id="0">
    <w:p w:rsidR="00D6351C" w:rsidRDefault="00D6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slon">
    <w:altName w:val="Century Gothic"/>
    <w:charset w:val="00"/>
    <w:family w:val="swiss"/>
    <w:pitch w:val="default"/>
    <w:sig w:usb0="00000000"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8"/>
      <w:rPr>
        <w:color w:val="FFFFFF" w:themeColor="background1"/>
        <w:sz w:val="16"/>
        <w:szCs w:val="16"/>
      </w:rPr>
    </w:pPr>
    <w:r>
      <w:rPr>
        <w:color w:val="FFFFFF" w:themeColor="background1"/>
        <w:sz w:val="16"/>
        <w:szCs w:val="16"/>
      </w:rPr>
      <w:fldChar w:fldCharType="begin"/>
    </w:r>
    <w:r>
      <w:rPr>
        <w:color w:val="FFFFFF" w:themeColor="background1"/>
        <w:sz w:val="16"/>
        <w:szCs w:val="16"/>
      </w:rPr>
      <w:instrText xml:space="preserve"> FILENAME  \p  \* MERGEFORMAT </w:instrText>
    </w:r>
    <w:r>
      <w:rPr>
        <w:color w:val="FFFFFF" w:themeColor="background1"/>
        <w:sz w:val="16"/>
        <w:szCs w:val="16"/>
      </w:rPr>
      <w:fldChar w:fldCharType="separate"/>
    </w:r>
    <w:r w:rsidR="00522030">
      <w:rPr>
        <w:noProof/>
        <w:color w:val="FFFFFF" w:themeColor="background1"/>
        <w:sz w:val="16"/>
        <w:szCs w:val="16"/>
      </w:rPr>
      <w:t>C:\Users\User\Desktop\рабочий стол\Desktop\ELENA secretar\ȘEDINȚE 2024\ședința nr.03 din 06.2024\PROIECTE DE DECIZIE\Cu privire la aprobarea Programului teritorial de imunizări.docx</w:t>
    </w:r>
    <w:r>
      <w:rPr>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8"/>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8"/>
      <w:jc w:val="right"/>
    </w:pPr>
    <w:r>
      <w:fldChar w:fldCharType="begin"/>
    </w:r>
    <w:r>
      <w:instrText>PAGE   \* MERGEFORMAT</w:instrText>
    </w:r>
    <w:r>
      <w:fldChar w:fldCharType="separate"/>
    </w:r>
    <w:r w:rsidR="00A50053" w:rsidRPr="00A50053">
      <w:rPr>
        <w:noProof/>
        <w:lang w:val="ru-RU"/>
      </w:rPr>
      <w:t>21</w:t>
    </w:r>
    <w:r>
      <w:rPr>
        <w:lang w:val="ru-RU"/>
      </w:rPr>
      <w:fldChar w:fldCharType="end"/>
    </w:r>
  </w:p>
  <w:p w:rsidR="00010A67" w:rsidRDefault="00010A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1C" w:rsidRDefault="00D6351C">
      <w:r>
        <w:separator/>
      </w:r>
    </w:p>
  </w:footnote>
  <w:footnote w:type="continuationSeparator" w:id="0">
    <w:p w:rsidR="00D6351C" w:rsidRDefault="00D63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50053">
      <w:rPr>
        <w:noProof/>
        <w:color w:val="FFFFFF" w:themeColor="background1"/>
      </w:rPr>
      <w:t>21</w:t>
    </w:r>
    <w:r>
      <w:rPr>
        <w:color w:val="FFFFFF" w:themeColor="background1"/>
      </w:rPr>
      <w:fldChar w:fldCharType="end"/>
    </w:r>
  </w:p>
  <w:p w:rsidR="00010A67" w:rsidRDefault="00010A6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
      </v:shape>
    </w:pict>
  </w:numPicBullet>
  <w:abstractNum w:abstractNumId="0" w15:restartNumberingAfterBreak="0">
    <w:nsid w:val="07266E57"/>
    <w:multiLevelType w:val="multilevel"/>
    <w:tmpl w:val="07266E57"/>
    <w:lvl w:ilvl="0">
      <w:start w:val="1"/>
      <w:numFmt w:val="decimal"/>
      <w:lvlText w:val="%1."/>
      <w:lvlJc w:val="left"/>
      <w:pPr>
        <w:ind w:left="1879" w:hanging="360"/>
      </w:pPr>
      <w:rPr>
        <w:rFonts w:ascii="Times New Roman" w:eastAsia="Times New Roman" w:hAnsi="Times New Roman" w:cs="Times New Roman" w:hint="default"/>
        <w:b/>
        <w:sz w:val="24"/>
        <w:szCs w:val="24"/>
      </w:rPr>
    </w:lvl>
    <w:lvl w:ilvl="1">
      <w:start w:val="60"/>
      <w:numFmt w:val="decimal"/>
      <w:lvlText w:val="%2."/>
      <w:lvlJc w:val="left"/>
      <w:pPr>
        <w:ind w:left="517" w:hanging="375"/>
      </w:pPr>
      <w:rPr>
        <w:rFonts w:ascii="Times New Roman" w:eastAsia="Times New Roman" w:hAnsi="Times New Roman" w:cs="Times New Roman" w:hint="default"/>
        <w:b/>
        <w:bCs/>
        <w:color w:val="auto"/>
        <w:w w:val="100"/>
        <w:sz w:val="28"/>
        <w:szCs w:val="28"/>
        <w:lang w:val="ro-RO" w:eastAsia="en-US" w:bidi="ar-SA"/>
      </w:rPr>
    </w:lvl>
    <w:lvl w:ilvl="2">
      <w:start w:val="1"/>
      <w:numFmt w:val="decimal"/>
      <w:lvlText w:val="%1.%2.%3"/>
      <w:lvlJc w:val="left"/>
      <w:pPr>
        <w:ind w:left="2239" w:hanging="720"/>
      </w:pPr>
      <w:rPr>
        <w:rFonts w:ascii="Times New Roman" w:eastAsia="Times New Roman" w:hAnsi="Times New Roman" w:cs="Times New Roman" w:hint="default"/>
        <w:b/>
        <w:sz w:val="24"/>
        <w:szCs w:val="24"/>
      </w:rPr>
    </w:lvl>
    <w:lvl w:ilvl="3">
      <w:start w:val="1"/>
      <w:numFmt w:val="decimal"/>
      <w:lvlText w:val="%1.%2.%3.%4"/>
      <w:lvlJc w:val="left"/>
      <w:pPr>
        <w:ind w:left="2239" w:hanging="720"/>
      </w:pPr>
      <w:rPr>
        <w:rFonts w:hint="default"/>
        <w:b/>
      </w:rPr>
    </w:lvl>
    <w:lvl w:ilvl="4">
      <w:start w:val="1"/>
      <w:numFmt w:val="decimal"/>
      <w:lvlText w:val="%1.%2.%3.%4.%5"/>
      <w:lvlJc w:val="left"/>
      <w:pPr>
        <w:ind w:left="2599" w:hanging="1080"/>
      </w:pPr>
      <w:rPr>
        <w:rFonts w:hint="default"/>
        <w:b/>
      </w:rPr>
    </w:lvl>
    <w:lvl w:ilvl="5">
      <w:start w:val="1"/>
      <w:numFmt w:val="decimal"/>
      <w:lvlText w:val="%1.%2.%3.%4.%5.%6"/>
      <w:lvlJc w:val="left"/>
      <w:pPr>
        <w:ind w:left="2599" w:hanging="1080"/>
      </w:pPr>
      <w:rPr>
        <w:rFonts w:hint="default"/>
        <w:b/>
      </w:rPr>
    </w:lvl>
    <w:lvl w:ilvl="6">
      <w:start w:val="1"/>
      <w:numFmt w:val="decimal"/>
      <w:lvlText w:val="%1.%2.%3.%4.%5.%6.%7"/>
      <w:lvlJc w:val="left"/>
      <w:pPr>
        <w:ind w:left="2959" w:hanging="1440"/>
      </w:pPr>
      <w:rPr>
        <w:rFonts w:hint="default"/>
        <w:b/>
      </w:rPr>
    </w:lvl>
    <w:lvl w:ilvl="7">
      <w:start w:val="1"/>
      <w:numFmt w:val="decimal"/>
      <w:lvlText w:val="%1.%2.%3.%4.%5.%6.%7.%8"/>
      <w:lvlJc w:val="left"/>
      <w:pPr>
        <w:ind w:left="2959" w:hanging="1440"/>
      </w:pPr>
      <w:rPr>
        <w:rFonts w:hint="default"/>
        <w:b/>
      </w:rPr>
    </w:lvl>
    <w:lvl w:ilvl="8">
      <w:start w:val="1"/>
      <w:numFmt w:val="decimal"/>
      <w:lvlText w:val="%1.%2.%3.%4.%5.%6.%7.%8.%9"/>
      <w:lvlJc w:val="left"/>
      <w:pPr>
        <w:ind w:left="3319" w:hanging="1800"/>
      </w:pPr>
      <w:rPr>
        <w:rFonts w:hint="default"/>
        <w:b/>
      </w:rPr>
    </w:lvl>
  </w:abstractNum>
  <w:abstractNum w:abstractNumId="1" w15:restartNumberingAfterBreak="0">
    <w:nsid w:val="09C8731D"/>
    <w:multiLevelType w:val="multilevel"/>
    <w:tmpl w:val="09C873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4362E"/>
    <w:multiLevelType w:val="multilevel"/>
    <w:tmpl w:val="0C4436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AE061A"/>
    <w:multiLevelType w:val="multilevel"/>
    <w:tmpl w:val="0DAE061A"/>
    <w:lvl w:ilvl="0">
      <w:start w:val="1"/>
      <w:numFmt w:val="decimal"/>
      <w:lvlText w:val="%1."/>
      <w:lvlJc w:val="left"/>
      <w:pPr>
        <w:ind w:left="1494" w:hanging="360"/>
      </w:pPr>
      <w:rPr>
        <w:rFonts w:hint="default"/>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0FF72BCE"/>
    <w:multiLevelType w:val="multilevel"/>
    <w:tmpl w:val="0FF7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B738B"/>
    <w:multiLevelType w:val="multilevel"/>
    <w:tmpl w:val="124B738B"/>
    <w:lvl w:ilvl="0">
      <w:start w:val="1"/>
      <w:numFmt w:val="low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B1F344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7" w15:restartNumberingAfterBreak="0">
    <w:nsid w:val="2ADB61B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8" w15:restartNumberingAfterBreak="0">
    <w:nsid w:val="2FF3440C"/>
    <w:multiLevelType w:val="multilevel"/>
    <w:tmpl w:val="2FF3440C"/>
    <w:lvl w:ilvl="0">
      <w:start w:val="1"/>
      <w:numFmt w:val="decimal"/>
      <w:lvlText w:val="%1)"/>
      <w:lvlJc w:val="left"/>
      <w:pPr>
        <w:ind w:left="960" w:hanging="360"/>
      </w:pPr>
    </w:lvl>
    <w:lvl w:ilvl="1">
      <w:start w:val="1"/>
      <w:numFmt w:val="upperRoman"/>
      <w:lvlText w:val="%2."/>
      <w:lvlJc w:val="left"/>
      <w:pPr>
        <w:ind w:left="2040" w:hanging="72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9" w15:restartNumberingAfterBreak="0">
    <w:nsid w:val="322877C8"/>
    <w:multiLevelType w:val="multilevel"/>
    <w:tmpl w:val="322877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28D7E14"/>
    <w:multiLevelType w:val="multilevel"/>
    <w:tmpl w:val="328D7E14"/>
    <w:lvl w:ilvl="0">
      <w:start w:val="1"/>
      <w:numFmt w:val="decimal"/>
      <w:lvlText w:val="%1)"/>
      <w:lvlJc w:val="left"/>
      <w:pPr>
        <w:ind w:left="810"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1" w15:restartNumberingAfterBreak="0">
    <w:nsid w:val="32D01BB1"/>
    <w:multiLevelType w:val="multilevel"/>
    <w:tmpl w:val="32D01BB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9C4E6A"/>
    <w:multiLevelType w:val="multilevel"/>
    <w:tmpl w:val="369C4E6A"/>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15:restartNumberingAfterBreak="0">
    <w:nsid w:val="383F7885"/>
    <w:multiLevelType w:val="multilevel"/>
    <w:tmpl w:val="383F788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1A6942"/>
    <w:multiLevelType w:val="multilevel"/>
    <w:tmpl w:val="3C1A694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E7B2AA3"/>
    <w:multiLevelType w:val="multilevel"/>
    <w:tmpl w:val="ED2445DC"/>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7F56B9"/>
    <w:multiLevelType w:val="multilevel"/>
    <w:tmpl w:val="3E7F56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4816C1"/>
    <w:multiLevelType w:val="multilevel"/>
    <w:tmpl w:val="41481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483ECA"/>
    <w:multiLevelType w:val="multilevel"/>
    <w:tmpl w:val="44483ECA"/>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9" w15:restartNumberingAfterBreak="0">
    <w:nsid w:val="4A027203"/>
    <w:multiLevelType w:val="multilevel"/>
    <w:tmpl w:val="4A027203"/>
    <w:lvl w:ilvl="0">
      <w:start w:val="9"/>
      <w:numFmt w:val="bullet"/>
      <w:lvlText w:val=""/>
      <w:lvlPicBulletId w:val="0"/>
      <w:lvlJc w:val="left"/>
      <w:pPr>
        <w:ind w:left="720" w:hanging="360"/>
      </w:pPr>
      <w:rPr>
        <w:rFonts w:ascii="Symbol" w:eastAsia="Times New Roman" w:hAnsi="Symbol" w:cs="Times New Roman" w:hint="default"/>
        <w:color w:val="auto"/>
        <w:sz w:val="18"/>
        <w:szCs w:val="18"/>
      </w:rPr>
    </w:lvl>
    <w:lvl w:ilvl="1">
      <w:start w:val="1"/>
      <w:numFmt w:val="bullet"/>
      <w:lvlText w:val=""/>
      <w:lvlJc w:val="left"/>
      <w:pPr>
        <w:ind w:left="1440" w:hanging="36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842CC9"/>
    <w:multiLevelType w:val="multilevel"/>
    <w:tmpl w:val="4C842CC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AC2A9C"/>
    <w:multiLevelType w:val="multilevel"/>
    <w:tmpl w:val="4CAC2A9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10598"/>
    <w:multiLevelType w:val="multilevel"/>
    <w:tmpl w:val="4D810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D05953"/>
    <w:multiLevelType w:val="multilevel"/>
    <w:tmpl w:val="4ED059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A33307"/>
    <w:multiLevelType w:val="multilevel"/>
    <w:tmpl w:val="51A33307"/>
    <w:lvl w:ilvl="0">
      <w:start w:val="1"/>
      <w:numFmt w:val="decimal"/>
      <w:lvlText w:val="%1."/>
      <w:lvlJc w:val="left"/>
      <w:pPr>
        <w:ind w:left="1879" w:hanging="360"/>
      </w:pPr>
      <w:rPr>
        <w:rFonts w:ascii="Times New Roman" w:eastAsia="Times New Roman" w:hAnsi="Times New Roman" w:cs="Times New Roman" w:hint="default"/>
        <w:b/>
        <w:sz w:val="24"/>
        <w:szCs w:val="24"/>
      </w:rPr>
    </w:lvl>
    <w:lvl w:ilvl="1">
      <w:start w:val="1"/>
      <w:numFmt w:val="decimal"/>
      <w:lvlText w:val="%2."/>
      <w:lvlJc w:val="left"/>
      <w:pPr>
        <w:ind w:left="1226" w:hanging="375"/>
      </w:pPr>
      <w:rPr>
        <w:rFonts w:ascii="Times New Roman" w:eastAsia="Times New Roman" w:hAnsi="Times New Roman" w:cs="Times New Roman" w:hint="default"/>
        <w:b/>
        <w:color w:val="auto"/>
        <w:sz w:val="28"/>
        <w:szCs w:val="28"/>
      </w:rPr>
    </w:lvl>
    <w:lvl w:ilvl="2">
      <w:start w:val="1"/>
      <w:numFmt w:val="decimal"/>
      <w:lvlText w:val="%1.%2.%3"/>
      <w:lvlJc w:val="left"/>
      <w:pPr>
        <w:ind w:left="2239" w:hanging="720"/>
      </w:pPr>
      <w:rPr>
        <w:rFonts w:ascii="Times New Roman" w:eastAsia="Times New Roman" w:hAnsi="Times New Roman" w:cs="Times New Roman" w:hint="default"/>
        <w:b/>
        <w:sz w:val="24"/>
        <w:szCs w:val="24"/>
      </w:rPr>
    </w:lvl>
    <w:lvl w:ilvl="3">
      <w:start w:val="1"/>
      <w:numFmt w:val="decimal"/>
      <w:lvlText w:val="%1.%2.%3.%4"/>
      <w:lvlJc w:val="left"/>
      <w:pPr>
        <w:ind w:left="2239" w:hanging="720"/>
      </w:pPr>
      <w:rPr>
        <w:rFonts w:hint="default"/>
        <w:b/>
      </w:rPr>
    </w:lvl>
    <w:lvl w:ilvl="4">
      <w:start w:val="1"/>
      <w:numFmt w:val="decimal"/>
      <w:lvlText w:val="%1.%2.%3.%4.%5"/>
      <w:lvlJc w:val="left"/>
      <w:pPr>
        <w:ind w:left="2599" w:hanging="1080"/>
      </w:pPr>
      <w:rPr>
        <w:rFonts w:hint="default"/>
        <w:b/>
      </w:rPr>
    </w:lvl>
    <w:lvl w:ilvl="5">
      <w:start w:val="1"/>
      <w:numFmt w:val="decimal"/>
      <w:lvlText w:val="%1.%2.%3.%4.%5.%6"/>
      <w:lvlJc w:val="left"/>
      <w:pPr>
        <w:ind w:left="2599" w:hanging="1080"/>
      </w:pPr>
      <w:rPr>
        <w:rFonts w:hint="default"/>
        <w:b/>
      </w:rPr>
    </w:lvl>
    <w:lvl w:ilvl="6">
      <w:start w:val="1"/>
      <w:numFmt w:val="decimal"/>
      <w:lvlText w:val="%1.%2.%3.%4.%5.%6.%7"/>
      <w:lvlJc w:val="left"/>
      <w:pPr>
        <w:ind w:left="2959" w:hanging="1440"/>
      </w:pPr>
      <w:rPr>
        <w:rFonts w:hint="default"/>
        <w:b/>
      </w:rPr>
    </w:lvl>
    <w:lvl w:ilvl="7">
      <w:start w:val="1"/>
      <w:numFmt w:val="decimal"/>
      <w:lvlText w:val="%1.%2.%3.%4.%5.%6.%7.%8"/>
      <w:lvlJc w:val="left"/>
      <w:pPr>
        <w:ind w:left="2959" w:hanging="1440"/>
      </w:pPr>
      <w:rPr>
        <w:rFonts w:hint="default"/>
        <w:b/>
      </w:rPr>
    </w:lvl>
    <w:lvl w:ilvl="8">
      <w:start w:val="1"/>
      <w:numFmt w:val="decimal"/>
      <w:lvlText w:val="%1.%2.%3.%4.%5.%6.%7.%8.%9"/>
      <w:lvlJc w:val="left"/>
      <w:pPr>
        <w:ind w:left="3319" w:hanging="1800"/>
      </w:pPr>
      <w:rPr>
        <w:rFonts w:hint="default"/>
        <w:b/>
      </w:rPr>
    </w:lvl>
  </w:abstractNum>
  <w:abstractNum w:abstractNumId="25" w15:restartNumberingAfterBreak="0">
    <w:nsid w:val="54F92540"/>
    <w:multiLevelType w:val="multilevel"/>
    <w:tmpl w:val="54F9254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152BE8"/>
    <w:multiLevelType w:val="multilevel"/>
    <w:tmpl w:val="56152BE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570224AD"/>
    <w:multiLevelType w:val="multilevel"/>
    <w:tmpl w:val="570224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FF2795"/>
    <w:multiLevelType w:val="multilevel"/>
    <w:tmpl w:val="5AFF279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0C1DC2"/>
    <w:multiLevelType w:val="multilevel"/>
    <w:tmpl w:val="5F0C1DC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629F1"/>
    <w:multiLevelType w:val="hybridMultilevel"/>
    <w:tmpl w:val="721E4DC6"/>
    <w:lvl w:ilvl="0" w:tplc="04190011">
      <w:start w:val="1"/>
      <w:numFmt w:val="decimal"/>
      <w:lvlText w:val="%1)"/>
      <w:lvlJc w:val="left"/>
      <w:pPr>
        <w:ind w:left="1070" w:hanging="360"/>
      </w:pPr>
      <w:rPr>
        <w:color w:val="auto"/>
        <w:sz w:val="28"/>
        <w:szCs w:val="28"/>
      </w:rPr>
    </w:lvl>
    <w:lvl w:ilvl="1" w:tplc="04190019" w:tentative="1">
      <w:start w:val="1"/>
      <w:numFmt w:val="lowerLetter"/>
      <w:lvlText w:val="%2."/>
      <w:lvlJc w:val="left"/>
      <w:pPr>
        <w:ind w:left="3480" w:hanging="360"/>
      </w:pPr>
    </w:lvl>
    <w:lvl w:ilvl="2" w:tplc="0419001B">
      <w:start w:val="1"/>
      <w:numFmt w:val="lowerRoman"/>
      <w:lvlText w:val="%3."/>
      <w:lvlJc w:val="right"/>
      <w:pPr>
        <w:ind w:left="4200" w:hanging="180"/>
      </w:pPr>
    </w:lvl>
    <w:lvl w:ilvl="3" w:tplc="0419000F">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1" w15:restartNumberingAfterBreak="0">
    <w:nsid w:val="63352662"/>
    <w:multiLevelType w:val="multilevel"/>
    <w:tmpl w:val="18306352"/>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32" w15:restartNumberingAfterBreak="0">
    <w:nsid w:val="6A0627AC"/>
    <w:multiLevelType w:val="multilevel"/>
    <w:tmpl w:val="6A0627AC"/>
    <w:lvl w:ilvl="0">
      <w:start w:val="1"/>
      <w:numFmt w:val="lowerLetter"/>
      <w:lvlText w:val="%1)"/>
      <w:lvlJc w:val="left"/>
      <w:pPr>
        <w:ind w:left="1637" w:hanging="360"/>
      </w:pPr>
      <w:rPr>
        <w:rFonts w:hint="default"/>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3" w15:restartNumberingAfterBreak="0">
    <w:nsid w:val="73AF5645"/>
    <w:multiLevelType w:val="multilevel"/>
    <w:tmpl w:val="73AF564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7879C2"/>
    <w:multiLevelType w:val="multilevel"/>
    <w:tmpl w:val="777879C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799936AA"/>
    <w:multiLevelType w:val="multilevel"/>
    <w:tmpl w:val="799936AA"/>
    <w:lvl w:ilvl="0">
      <w:start w:val="1"/>
      <w:numFmt w:val="decimal"/>
      <w:lvlText w:val="%1)"/>
      <w:lvlJc w:val="left"/>
      <w:pPr>
        <w:ind w:left="960" w:hanging="360"/>
      </w:pPr>
    </w:lvl>
    <w:lvl w:ilvl="1">
      <w:start w:val="1"/>
      <w:numFmt w:val="upperRoman"/>
      <w:lvlText w:val="%2."/>
      <w:lvlJc w:val="left"/>
      <w:pPr>
        <w:ind w:left="2040" w:hanging="72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6" w15:restartNumberingAfterBreak="0">
    <w:nsid w:val="7CDA7CDA"/>
    <w:multiLevelType w:val="hybridMultilevel"/>
    <w:tmpl w:val="358ED5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D920BCE"/>
    <w:multiLevelType w:val="multilevel"/>
    <w:tmpl w:val="7D920BC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5"/>
  </w:num>
  <w:num w:numId="2">
    <w:abstractNumId w:val="32"/>
  </w:num>
  <w:num w:numId="3">
    <w:abstractNumId w:val="5"/>
  </w:num>
  <w:num w:numId="4">
    <w:abstractNumId w:val="11"/>
  </w:num>
  <w:num w:numId="5">
    <w:abstractNumId w:val="6"/>
  </w:num>
  <w:num w:numId="6">
    <w:abstractNumId w:val="19"/>
  </w:num>
  <w:num w:numId="7">
    <w:abstractNumId w:val="25"/>
  </w:num>
  <w:num w:numId="8">
    <w:abstractNumId w:val="2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4"/>
  </w:num>
  <w:num w:numId="16">
    <w:abstractNumId w:val="14"/>
  </w:num>
  <w:num w:numId="17">
    <w:abstractNumId w:val="37"/>
  </w:num>
  <w:num w:numId="18">
    <w:abstractNumId w:val="13"/>
  </w:num>
  <w:num w:numId="19">
    <w:abstractNumId w:val="9"/>
  </w:num>
  <w:num w:numId="20">
    <w:abstractNumId w:val="33"/>
  </w:num>
  <w:num w:numId="21">
    <w:abstractNumId w:val="22"/>
  </w:num>
  <w:num w:numId="22">
    <w:abstractNumId w:val="29"/>
  </w:num>
  <w:num w:numId="23">
    <w:abstractNumId w:val="0"/>
  </w:num>
  <w:num w:numId="24">
    <w:abstractNumId w:val="8"/>
  </w:num>
  <w:num w:numId="25">
    <w:abstractNumId w:val="35"/>
  </w:num>
  <w:num w:numId="26">
    <w:abstractNumId w:val="26"/>
  </w:num>
  <w:num w:numId="27">
    <w:abstractNumId w:val="34"/>
  </w:num>
  <w:num w:numId="28">
    <w:abstractNumId w:val="27"/>
  </w:num>
  <w:num w:numId="29">
    <w:abstractNumId w:val="2"/>
  </w:num>
  <w:num w:numId="30">
    <w:abstractNumId w:val="18"/>
  </w:num>
  <w:num w:numId="31">
    <w:abstractNumId w:val="12"/>
  </w:num>
  <w:num w:numId="32">
    <w:abstractNumId w:val="10"/>
  </w:num>
  <w:num w:numId="33">
    <w:abstractNumId w:val="17"/>
  </w:num>
  <w:num w:numId="34">
    <w:abstractNumId w:val="16"/>
  </w:num>
  <w:num w:numId="35">
    <w:abstractNumId w:val="1"/>
  </w:num>
  <w:num w:numId="36">
    <w:abstractNumId w:val="21"/>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8"/>
    <w:rsid w:val="0000722A"/>
    <w:rsid w:val="00010A67"/>
    <w:rsid w:val="00011591"/>
    <w:rsid w:val="0001176B"/>
    <w:rsid w:val="00013C96"/>
    <w:rsid w:val="00014A68"/>
    <w:rsid w:val="00014D75"/>
    <w:rsid w:val="00014F34"/>
    <w:rsid w:val="0001539B"/>
    <w:rsid w:val="00020FD5"/>
    <w:rsid w:val="0002139A"/>
    <w:rsid w:val="00021671"/>
    <w:rsid w:val="00021C4D"/>
    <w:rsid w:val="00022210"/>
    <w:rsid w:val="000229D1"/>
    <w:rsid w:val="00022E44"/>
    <w:rsid w:val="00030AEF"/>
    <w:rsid w:val="00032730"/>
    <w:rsid w:val="000329A9"/>
    <w:rsid w:val="00042B4D"/>
    <w:rsid w:val="00042F82"/>
    <w:rsid w:val="000455D2"/>
    <w:rsid w:val="00045A39"/>
    <w:rsid w:val="00047E23"/>
    <w:rsid w:val="0005228B"/>
    <w:rsid w:val="0005302A"/>
    <w:rsid w:val="0005397A"/>
    <w:rsid w:val="00056E47"/>
    <w:rsid w:val="0006187E"/>
    <w:rsid w:val="0006268F"/>
    <w:rsid w:val="00064599"/>
    <w:rsid w:val="00074DEA"/>
    <w:rsid w:val="00077560"/>
    <w:rsid w:val="00083156"/>
    <w:rsid w:val="000838ED"/>
    <w:rsid w:val="00083A25"/>
    <w:rsid w:val="00084363"/>
    <w:rsid w:val="00084848"/>
    <w:rsid w:val="000850EF"/>
    <w:rsid w:val="00085385"/>
    <w:rsid w:val="00090761"/>
    <w:rsid w:val="0009175F"/>
    <w:rsid w:val="00091828"/>
    <w:rsid w:val="00095EED"/>
    <w:rsid w:val="000A2F45"/>
    <w:rsid w:val="000A6780"/>
    <w:rsid w:val="000B11CA"/>
    <w:rsid w:val="000B1873"/>
    <w:rsid w:val="000B4FD4"/>
    <w:rsid w:val="000C2A6B"/>
    <w:rsid w:val="000C4925"/>
    <w:rsid w:val="000C535A"/>
    <w:rsid w:val="000D1E60"/>
    <w:rsid w:val="000D502D"/>
    <w:rsid w:val="000E2D11"/>
    <w:rsid w:val="000E7211"/>
    <w:rsid w:val="000E7275"/>
    <w:rsid w:val="000F0CFA"/>
    <w:rsid w:val="000F2CE7"/>
    <w:rsid w:val="000F4965"/>
    <w:rsid w:val="000F6325"/>
    <w:rsid w:val="000F707C"/>
    <w:rsid w:val="001015DB"/>
    <w:rsid w:val="00110D32"/>
    <w:rsid w:val="001122B0"/>
    <w:rsid w:val="00112966"/>
    <w:rsid w:val="00113456"/>
    <w:rsid w:val="00113816"/>
    <w:rsid w:val="001273B4"/>
    <w:rsid w:val="00127FE7"/>
    <w:rsid w:val="00135CBD"/>
    <w:rsid w:val="001466CC"/>
    <w:rsid w:val="00147CCD"/>
    <w:rsid w:val="00151357"/>
    <w:rsid w:val="001522C4"/>
    <w:rsid w:val="001552A1"/>
    <w:rsid w:val="0015609E"/>
    <w:rsid w:val="00156334"/>
    <w:rsid w:val="001604E4"/>
    <w:rsid w:val="00164A67"/>
    <w:rsid w:val="00166294"/>
    <w:rsid w:val="00171BC0"/>
    <w:rsid w:val="00180F0A"/>
    <w:rsid w:val="00181D21"/>
    <w:rsid w:val="0018287A"/>
    <w:rsid w:val="00182B14"/>
    <w:rsid w:val="00182E28"/>
    <w:rsid w:val="001840BF"/>
    <w:rsid w:val="00185673"/>
    <w:rsid w:val="00187B81"/>
    <w:rsid w:val="0019084B"/>
    <w:rsid w:val="00191F88"/>
    <w:rsid w:val="0019415B"/>
    <w:rsid w:val="0019778C"/>
    <w:rsid w:val="001A1B8A"/>
    <w:rsid w:val="001A4DC0"/>
    <w:rsid w:val="001A579A"/>
    <w:rsid w:val="001B42BE"/>
    <w:rsid w:val="001B5D64"/>
    <w:rsid w:val="001C0498"/>
    <w:rsid w:val="001C34A8"/>
    <w:rsid w:val="001C6813"/>
    <w:rsid w:val="001C775D"/>
    <w:rsid w:val="001D0B65"/>
    <w:rsid w:val="001D3F78"/>
    <w:rsid w:val="001D46BB"/>
    <w:rsid w:val="001D46EE"/>
    <w:rsid w:val="001E536C"/>
    <w:rsid w:val="001F6B82"/>
    <w:rsid w:val="001F7968"/>
    <w:rsid w:val="0020391D"/>
    <w:rsid w:val="0020461F"/>
    <w:rsid w:val="00216364"/>
    <w:rsid w:val="00223E6E"/>
    <w:rsid w:val="00225349"/>
    <w:rsid w:val="002304F4"/>
    <w:rsid w:val="00230AAA"/>
    <w:rsid w:val="00231BC2"/>
    <w:rsid w:val="00236A8E"/>
    <w:rsid w:val="00237C45"/>
    <w:rsid w:val="00241C31"/>
    <w:rsid w:val="00241FED"/>
    <w:rsid w:val="00244E02"/>
    <w:rsid w:val="002533CD"/>
    <w:rsid w:val="0025354F"/>
    <w:rsid w:val="00254180"/>
    <w:rsid w:val="00255330"/>
    <w:rsid w:val="002553F2"/>
    <w:rsid w:val="002554A0"/>
    <w:rsid w:val="00256AEF"/>
    <w:rsid w:val="00261F95"/>
    <w:rsid w:val="002635C2"/>
    <w:rsid w:val="00265FCC"/>
    <w:rsid w:val="002668FC"/>
    <w:rsid w:val="00267BE4"/>
    <w:rsid w:val="00271643"/>
    <w:rsid w:val="00272CD9"/>
    <w:rsid w:val="00275D0A"/>
    <w:rsid w:val="002765B1"/>
    <w:rsid w:val="00280586"/>
    <w:rsid w:val="00282A40"/>
    <w:rsid w:val="00283B9F"/>
    <w:rsid w:val="00292BFA"/>
    <w:rsid w:val="002945B0"/>
    <w:rsid w:val="00295BB7"/>
    <w:rsid w:val="002A1ABA"/>
    <w:rsid w:val="002A49DB"/>
    <w:rsid w:val="002B04F0"/>
    <w:rsid w:val="002B3ECD"/>
    <w:rsid w:val="002B4E79"/>
    <w:rsid w:val="002C3813"/>
    <w:rsid w:val="002C3D92"/>
    <w:rsid w:val="002C3E4C"/>
    <w:rsid w:val="002D0EE6"/>
    <w:rsid w:val="002D26B0"/>
    <w:rsid w:val="002E54B4"/>
    <w:rsid w:val="002F5097"/>
    <w:rsid w:val="002F7F3C"/>
    <w:rsid w:val="00302A97"/>
    <w:rsid w:val="00302BA0"/>
    <w:rsid w:val="00304EFC"/>
    <w:rsid w:val="00305343"/>
    <w:rsid w:val="00305EB0"/>
    <w:rsid w:val="003060BA"/>
    <w:rsid w:val="00306E90"/>
    <w:rsid w:val="00314692"/>
    <w:rsid w:val="00316C77"/>
    <w:rsid w:val="00316DD7"/>
    <w:rsid w:val="00326A07"/>
    <w:rsid w:val="00331730"/>
    <w:rsid w:val="00331E6A"/>
    <w:rsid w:val="0034105D"/>
    <w:rsid w:val="00341205"/>
    <w:rsid w:val="00341E49"/>
    <w:rsid w:val="003475CE"/>
    <w:rsid w:val="00350FAB"/>
    <w:rsid w:val="0035340C"/>
    <w:rsid w:val="00353AD8"/>
    <w:rsid w:val="00354345"/>
    <w:rsid w:val="00366B3E"/>
    <w:rsid w:val="00372A17"/>
    <w:rsid w:val="00373AE3"/>
    <w:rsid w:val="003761AB"/>
    <w:rsid w:val="003771CD"/>
    <w:rsid w:val="003772D4"/>
    <w:rsid w:val="00382F69"/>
    <w:rsid w:val="003846E1"/>
    <w:rsid w:val="00385D03"/>
    <w:rsid w:val="00385D2D"/>
    <w:rsid w:val="00387E34"/>
    <w:rsid w:val="00393427"/>
    <w:rsid w:val="00394179"/>
    <w:rsid w:val="003A0791"/>
    <w:rsid w:val="003A22B8"/>
    <w:rsid w:val="003A2431"/>
    <w:rsid w:val="003B1D37"/>
    <w:rsid w:val="003B1E75"/>
    <w:rsid w:val="003B61F2"/>
    <w:rsid w:val="003B7B85"/>
    <w:rsid w:val="003C6192"/>
    <w:rsid w:val="003D161A"/>
    <w:rsid w:val="003D671E"/>
    <w:rsid w:val="003E12B1"/>
    <w:rsid w:val="003E7902"/>
    <w:rsid w:val="003F10B5"/>
    <w:rsid w:val="003F6EBE"/>
    <w:rsid w:val="00400B1C"/>
    <w:rsid w:val="00405046"/>
    <w:rsid w:val="00406437"/>
    <w:rsid w:val="004064C8"/>
    <w:rsid w:val="00406D35"/>
    <w:rsid w:val="0041118D"/>
    <w:rsid w:val="00411ABB"/>
    <w:rsid w:val="00414C6F"/>
    <w:rsid w:val="00415A5E"/>
    <w:rsid w:val="00415DA3"/>
    <w:rsid w:val="00423922"/>
    <w:rsid w:val="00427735"/>
    <w:rsid w:val="00430EF2"/>
    <w:rsid w:val="004317E8"/>
    <w:rsid w:val="004332D2"/>
    <w:rsid w:val="00433C32"/>
    <w:rsid w:val="00435A16"/>
    <w:rsid w:val="004375AC"/>
    <w:rsid w:val="00440DEF"/>
    <w:rsid w:val="00441BCF"/>
    <w:rsid w:val="0044337A"/>
    <w:rsid w:val="00443558"/>
    <w:rsid w:val="00443A88"/>
    <w:rsid w:val="004441F2"/>
    <w:rsid w:val="0044673A"/>
    <w:rsid w:val="00446844"/>
    <w:rsid w:val="00453162"/>
    <w:rsid w:val="00461254"/>
    <w:rsid w:val="004669A0"/>
    <w:rsid w:val="00467C18"/>
    <w:rsid w:val="004717CD"/>
    <w:rsid w:val="00471D77"/>
    <w:rsid w:val="004769EB"/>
    <w:rsid w:val="00484E79"/>
    <w:rsid w:val="00485322"/>
    <w:rsid w:val="00487FBD"/>
    <w:rsid w:val="004906BC"/>
    <w:rsid w:val="0049128C"/>
    <w:rsid w:val="00493C86"/>
    <w:rsid w:val="004944BB"/>
    <w:rsid w:val="004947F9"/>
    <w:rsid w:val="00495716"/>
    <w:rsid w:val="004964FB"/>
    <w:rsid w:val="00496F3D"/>
    <w:rsid w:val="004A0273"/>
    <w:rsid w:val="004A0728"/>
    <w:rsid w:val="004A3204"/>
    <w:rsid w:val="004B02CC"/>
    <w:rsid w:val="004B0391"/>
    <w:rsid w:val="004B6729"/>
    <w:rsid w:val="004B6C85"/>
    <w:rsid w:val="004B6EDA"/>
    <w:rsid w:val="004B7904"/>
    <w:rsid w:val="004C331F"/>
    <w:rsid w:val="004C6D98"/>
    <w:rsid w:val="004D1B27"/>
    <w:rsid w:val="004D2FC3"/>
    <w:rsid w:val="004D3376"/>
    <w:rsid w:val="004E1F84"/>
    <w:rsid w:val="004E4C56"/>
    <w:rsid w:val="004E4C5C"/>
    <w:rsid w:val="004E689A"/>
    <w:rsid w:val="004E6A01"/>
    <w:rsid w:val="004F00A1"/>
    <w:rsid w:val="004F1C3F"/>
    <w:rsid w:val="004F3CFE"/>
    <w:rsid w:val="00502998"/>
    <w:rsid w:val="0050722F"/>
    <w:rsid w:val="00507FB8"/>
    <w:rsid w:val="00511B7F"/>
    <w:rsid w:val="005131A6"/>
    <w:rsid w:val="00515939"/>
    <w:rsid w:val="00516FD3"/>
    <w:rsid w:val="00520F73"/>
    <w:rsid w:val="00522030"/>
    <w:rsid w:val="00525FCC"/>
    <w:rsid w:val="00527483"/>
    <w:rsid w:val="00531054"/>
    <w:rsid w:val="0053372C"/>
    <w:rsid w:val="0053792B"/>
    <w:rsid w:val="00544795"/>
    <w:rsid w:val="00544E6C"/>
    <w:rsid w:val="00545B5B"/>
    <w:rsid w:val="005525B2"/>
    <w:rsid w:val="0055667E"/>
    <w:rsid w:val="00557F3F"/>
    <w:rsid w:val="00561E49"/>
    <w:rsid w:val="00561FA5"/>
    <w:rsid w:val="005639AF"/>
    <w:rsid w:val="00563EE4"/>
    <w:rsid w:val="005646C7"/>
    <w:rsid w:val="00565300"/>
    <w:rsid w:val="005660AF"/>
    <w:rsid w:val="00571C93"/>
    <w:rsid w:val="0057584E"/>
    <w:rsid w:val="0057594D"/>
    <w:rsid w:val="00576696"/>
    <w:rsid w:val="00576CC7"/>
    <w:rsid w:val="0058222A"/>
    <w:rsid w:val="005832B6"/>
    <w:rsid w:val="005850C5"/>
    <w:rsid w:val="00592235"/>
    <w:rsid w:val="00593738"/>
    <w:rsid w:val="00593F5F"/>
    <w:rsid w:val="005940CD"/>
    <w:rsid w:val="00595075"/>
    <w:rsid w:val="00596F5C"/>
    <w:rsid w:val="00597E59"/>
    <w:rsid w:val="005A5AAB"/>
    <w:rsid w:val="005A601B"/>
    <w:rsid w:val="005B1336"/>
    <w:rsid w:val="005B3AB2"/>
    <w:rsid w:val="005B4CE9"/>
    <w:rsid w:val="005B66A3"/>
    <w:rsid w:val="005B79C9"/>
    <w:rsid w:val="005C651C"/>
    <w:rsid w:val="005C6682"/>
    <w:rsid w:val="005C7075"/>
    <w:rsid w:val="005D1037"/>
    <w:rsid w:val="005D1BAF"/>
    <w:rsid w:val="005D415C"/>
    <w:rsid w:val="005D5F1A"/>
    <w:rsid w:val="005D6C82"/>
    <w:rsid w:val="005E11BD"/>
    <w:rsid w:val="005E5B3A"/>
    <w:rsid w:val="005F2721"/>
    <w:rsid w:val="005F5B52"/>
    <w:rsid w:val="00600F58"/>
    <w:rsid w:val="0060102E"/>
    <w:rsid w:val="00601663"/>
    <w:rsid w:val="00606383"/>
    <w:rsid w:val="006106C9"/>
    <w:rsid w:val="0061091A"/>
    <w:rsid w:val="00612606"/>
    <w:rsid w:val="00612D78"/>
    <w:rsid w:val="00615577"/>
    <w:rsid w:val="00616F1E"/>
    <w:rsid w:val="006201CC"/>
    <w:rsid w:val="00620A6C"/>
    <w:rsid w:val="00620B32"/>
    <w:rsid w:val="00626500"/>
    <w:rsid w:val="00636719"/>
    <w:rsid w:val="00640CF8"/>
    <w:rsid w:val="00640E07"/>
    <w:rsid w:val="00653C19"/>
    <w:rsid w:val="006618BE"/>
    <w:rsid w:val="00666115"/>
    <w:rsid w:val="006663E1"/>
    <w:rsid w:val="006708C9"/>
    <w:rsid w:val="00670F54"/>
    <w:rsid w:val="00671AAE"/>
    <w:rsid w:val="00671EFD"/>
    <w:rsid w:val="00676E09"/>
    <w:rsid w:val="006825E0"/>
    <w:rsid w:val="006835BE"/>
    <w:rsid w:val="00691710"/>
    <w:rsid w:val="00696D0F"/>
    <w:rsid w:val="0069737C"/>
    <w:rsid w:val="00697ED7"/>
    <w:rsid w:val="006A66C3"/>
    <w:rsid w:val="006B54A1"/>
    <w:rsid w:val="006B719D"/>
    <w:rsid w:val="006C14F8"/>
    <w:rsid w:val="006D0F3F"/>
    <w:rsid w:val="006D4C3A"/>
    <w:rsid w:val="006E1A35"/>
    <w:rsid w:val="006E1B4B"/>
    <w:rsid w:val="006E6AAD"/>
    <w:rsid w:val="006E6F6D"/>
    <w:rsid w:val="006E7474"/>
    <w:rsid w:val="006F2046"/>
    <w:rsid w:val="006F24E2"/>
    <w:rsid w:val="006F3BA4"/>
    <w:rsid w:val="006F588E"/>
    <w:rsid w:val="006F6197"/>
    <w:rsid w:val="006F624A"/>
    <w:rsid w:val="00702677"/>
    <w:rsid w:val="007062DE"/>
    <w:rsid w:val="0071100E"/>
    <w:rsid w:val="00715AE5"/>
    <w:rsid w:val="0071738B"/>
    <w:rsid w:val="00721608"/>
    <w:rsid w:val="007273E7"/>
    <w:rsid w:val="007314B3"/>
    <w:rsid w:val="007325B8"/>
    <w:rsid w:val="0073744B"/>
    <w:rsid w:val="00745C95"/>
    <w:rsid w:val="0075084F"/>
    <w:rsid w:val="00754634"/>
    <w:rsid w:val="00754E40"/>
    <w:rsid w:val="00755CF7"/>
    <w:rsid w:val="00756667"/>
    <w:rsid w:val="00756C15"/>
    <w:rsid w:val="00757946"/>
    <w:rsid w:val="00765243"/>
    <w:rsid w:val="00765D39"/>
    <w:rsid w:val="007667A8"/>
    <w:rsid w:val="0077099B"/>
    <w:rsid w:val="007709B4"/>
    <w:rsid w:val="007711F0"/>
    <w:rsid w:val="007726B1"/>
    <w:rsid w:val="00772AC1"/>
    <w:rsid w:val="007819B3"/>
    <w:rsid w:val="00785659"/>
    <w:rsid w:val="00785F4F"/>
    <w:rsid w:val="0078660B"/>
    <w:rsid w:val="00786BB6"/>
    <w:rsid w:val="0078776A"/>
    <w:rsid w:val="007908CF"/>
    <w:rsid w:val="0079197B"/>
    <w:rsid w:val="00791DC3"/>
    <w:rsid w:val="00793AF1"/>
    <w:rsid w:val="007A0926"/>
    <w:rsid w:val="007A3EA8"/>
    <w:rsid w:val="007B3377"/>
    <w:rsid w:val="007B5404"/>
    <w:rsid w:val="007C1C04"/>
    <w:rsid w:val="007C4DAF"/>
    <w:rsid w:val="007C7093"/>
    <w:rsid w:val="007C75FE"/>
    <w:rsid w:val="007D37F7"/>
    <w:rsid w:val="007D61A8"/>
    <w:rsid w:val="007D7C34"/>
    <w:rsid w:val="007E0B89"/>
    <w:rsid w:val="007E17CC"/>
    <w:rsid w:val="007E39BC"/>
    <w:rsid w:val="007E40D9"/>
    <w:rsid w:val="007E4A1A"/>
    <w:rsid w:val="007E4B49"/>
    <w:rsid w:val="007F31ED"/>
    <w:rsid w:val="007F37C7"/>
    <w:rsid w:val="007F7233"/>
    <w:rsid w:val="007F7852"/>
    <w:rsid w:val="00805F2E"/>
    <w:rsid w:val="0081126C"/>
    <w:rsid w:val="008116CA"/>
    <w:rsid w:val="00814369"/>
    <w:rsid w:val="008153CC"/>
    <w:rsid w:val="0081547B"/>
    <w:rsid w:val="00815AC4"/>
    <w:rsid w:val="00820040"/>
    <w:rsid w:val="00822F97"/>
    <w:rsid w:val="00824DFC"/>
    <w:rsid w:val="0083027A"/>
    <w:rsid w:val="008359B5"/>
    <w:rsid w:val="008362F4"/>
    <w:rsid w:val="008367D6"/>
    <w:rsid w:val="00850BA8"/>
    <w:rsid w:val="008511CE"/>
    <w:rsid w:val="00852BCF"/>
    <w:rsid w:val="00852D64"/>
    <w:rsid w:val="008532E5"/>
    <w:rsid w:val="00856CA2"/>
    <w:rsid w:val="00856EB5"/>
    <w:rsid w:val="00860F26"/>
    <w:rsid w:val="00864D0C"/>
    <w:rsid w:val="00875035"/>
    <w:rsid w:val="00877B0F"/>
    <w:rsid w:val="008847EB"/>
    <w:rsid w:val="0088487D"/>
    <w:rsid w:val="0088520D"/>
    <w:rsid w:val="00892CB4"/>
    <w:rsid w:val="00892D55"/>
    <w:rsid w:val="00894413"/>
    <w:rsid w:val="00897462"/>
    <w:rsid w:val="008A0042"/>
    <w:rsid w:val="008A0BFC"/>
    <w:rsid w:val="008A3F08"/>
    <w:rsid w:val="008A486E"/>
    <w:rsid w:val="008A774A"/>
    <w:rsid w:val="008B188D"/>
    <w:rsid w:val="008B2E94"/>
    <w:rsid w:val="008C00D6"/>
    <w:rsid w:val="008C2AFE"/>
    <w:rsid w:val="008C33E6"/>
    <w:rsid w:val="008C503E"/>
    <w:rsid w:val="008C7BB7"/>
    <w:rsid w:val="008D0C07"/>
    <w:rsid w:val="008D418A"/>
    <w:rsid w:val="008D4639"/>
    <w:rsid w:val="008D795E"/>
    <w:rsid w:val="008E71FA"/>
    <w:rsid w:val="008F1B11"/>
    <w:rsid w:val="008F4902"/>
    <w:rsid w:val="008F5246"/>
    <w:rsid w:val="008F5802"/>
    <w:rsid w:val="008F6600"/>
    <w:rsid w:val="008F758D"/>
    <w:rsid w:val="00901583"/>
    <w:rsid w:val="00902148"/>
    <w:rsid w:val="00902E1A"/>
    <w:rsid w:val="00906E51"/>
    <w:rsid w:val="00915A26"/>
    <w:rsid w:val="0091729C"/>
    <w:rsid w:val="00923128"/>
    <w:rsid w:val="00924DEF"/>
    <w:rsid w:val="00926809"/>
    <w:rsid w:val="0093641B"/>
    <w:rsid w:val="00941842"/>
    <w:rsid w:val="009432B1"/>
    <w:rsid w:val="00947A41"/>
    <w:rsid w:val="00951A9B"/>
    <w:rsid w:val="00954F77"/>
    <w:rsid w:val="00955348"/>
    <w:rsid w:val="00956C5D"/>
    <w:rsid w:val="009642DF"/>
    <w:rsid w:val="00964B44"/>
    <w:rsid w:val="00964E0C"/>
    <w:rsid w:val="00967DF8"/>
    <w:rsid w:val="00970A05"/>
    <w:rsid w:val="00970FC7"/>
    <w:rsid w:val="009731DD"/>
    <w:rsid w:val="009732AB"/>
    <w:rsid w:val="009764FD"/>
    <w:rsid w:val="00977944"/>
    <w:rsid w:val="009875C5"/>
    <w:rsid w:val="009928D3"/>
    <w:rsid w:val="00995F7D"/>
    <w:rsid w:val="0099689F"/>
    <w:rsid w:val="00996BCA"/>
    <w:rsid w:val="00997420"/>
    <w:rsid w:val="009A0EFC"/>
    <w:rsid w:val="009A1D2B"/>
    <w:rsid w:val="009A1F43"/>
    <w:rsid w:val="009A21C9"/>
    <w:rsid w:val="009A288A"/>
    <w:rsid w:val="009A468D"/>
    <w:rsid w:val="009A614B"/>
    <w:rsid w:val="009B16EF"/>
    <w:rsid w:val="009B17C4"/>
    <w:rsid w:val="009B1A7C"/>
    <w:rsid w:val="009C1B76"/>
    <w:rsid w:val="009C2F7C"/>
    <w:rsid w:val="009C51C8"/>
    <w:rsid w:val="009D1D07"/>
    <w:rsid w:val="009D3993"/>
    <w:rsid w:val="009D6BA0"/>
    <w:rsid w:val="009E0542"/>
    <w:rsid w:val="009E2DF6"/>
    <w:rsid w:val="009F4898"/>
    <w:rsid w:val="00A01664"/>
    <w:rsid w:val="00A021DE"/>
    <w:rsid w:val="00A0483F"/>
    <w:rsid w:val="00A04BE2"/>
    <w:rsid w:val="00A06BEC"/>
    <w:rsid w:val="00A14C26"/>
    <w:rsid w:val="00A1541E"/>
    <w:rsid w:val="00A20431"/>
    <w:rsid w:val="00A220C3"/>
    <w:rsid w:val="00A24D5F"/>
    <w:rsid w:val="00A402F5"/>
    <w:rsid w:val="00A44B14"/>
    <w:rsid w:val="00A44F3E"/>
    <w:rsid w:val="00A45647"/>
    <w:rsid w:val="00A45CDE"/>
    <w:rsid w:val="00A50053"/>
    <w:rsid w:val="00A550F0"/>
    <w:rsid w:val="00A60E20"/>
    <w:rsid w:val="00A627BC"/>
    <w:rsid w:val="00A62D7F"/>
    <w:rsid w:val="00A64DB1"/>
    <w:rsid w:val="00A64F02"/>
    <w:rsid w:val="00A65A15"/>
    <w:rsid w:val="00A6766F"/>
    <w:rsid w:val="00A70972"/>
    <w:rsid w:val="00A70AC4"/>
    <w:rsid w:val="00A72022"/>
    <w:rsid w:val="00A72E4D"/>
    <w:rsid w:val="00A76287"/>
    <w:rsid w:val="00A8212C"/>
    <w:rsid w:val="00A85EC8"/>
    <w:rsid w:val="00A8711E"/>
    <w:rsid w:val="00A91FB0"/>
    <w:rsid w:val="00A96192"/>
    <w:rsid w:val="00A9703F"/>
    <w:rsid w:val="00AA1126"/>
    <w:rsid w:val="00AA3119"/>
    <w:rsid w:val="00AA3F9A"/>
    <w:rsid w:val="00AA45B2"/>
    <w:rsid w:val="00AA57B5"/>
    <w:rsid w:val="00AB0739"/>
    <w:rsid w:val="00AB3C91"/>
    <w:rsid w:val="00AB5842"/>
    <w:rsid w:val="00AB5849"/>
    <w:rsid w:val="00AB7025"/>
    <w:rsid w:val="00AC14DE"/>
    <w:rsid w:val="00AC1879"/>
    <w:rsid w:val="00AC1C78"/>
    <w:rsid w:val="00AC5B64"/>
    <w:rsid w:val="00AD3287"/>
    <w:rsid w:val="00AD3CA3"/>
    <w:rsid w:val="00AE28E9"/>
    <w:rsid w:val="00AF36E6"/>
    <w:rsid w:val="00AF5B91"/>
    <w:rsid w:val="00AF5E12"/>
    <w:rsid w:val="00B136E9"/>
    <w:rsid w:val="00B14A1E"/>
    <w:rsid w:val="00B17C29"/>
    <w:rsid w:val="00B30DB0"/>
    <w:rsid w:val="00B3602D"/>
    <w:rsid w:val="00B37AA9"/>
    <w:rsid w:val="00B41AB3"/>
    <w:rsid w:val="00B423CC"/>
    <w:rsid w:val="00B441D8"/>
    <w:rsid w:val="00B44241"/>
    <w:rsid w:val="00B45605"/>
    <w:rsid w:val="00B50CEC"/>
    <w:rsid w:val="00B53526"/>
    <w:rsid w:val="00B57F01"/>
    <w:rsid w:val="00B6334D"/>
    <w:rsid w:val="00B6756F"/>
    <w:rsid w:val="00B73EA6"/>
    <w:rsid w:val="00B75C8C"/>
    <w:rsid w:val="00B76463"/>
    <w:rsid w:val="00B81F95"/>
    <w:rsid w:val="00B82993"/>
    <w:rsid w:val="00B85405"/>
    <w:rsid w:val="00B8692B"/>
    <w:rsid w:val="00B87832"/>
    <w:rsid w:val="00B90B66"/>
    <w:rsid w:val="00B91028"/>
    <w:rsid w:val="00B92312"/>
    <w:rsid w:val="00B93A35"/>
    <w:rsid w:val="00BA439A"/>
    <w:rsid w:val="00BA680B"/>
    <w:rsid w:val="00BA7EB7"/>
    <w:rsid w:val="00BA7EE7"/>
    <w:rsid w:val="00BB0065"/>
    <w:rsid w:val="00BB303D"/>
    <w:rsid w:val="00BB3270"/>
    <w:rsid w:val="00BB3D2D"/>
    <w:rsid w:val="00BB6EA7"/>
    <w:rsid w:val="00BC1392"/>
    <w:rsid w:val="00BD72B9"/>
    <w:rsid w:val="00BD7DDF"/>
    <w:rsid w:val="00BE13AC"/>
    <w:rsid w:val="00BF1EEC"/>
    <w:rsid w:val="00BF2790"/>
    <w:rsid w:val="00BF4869"/>
    <w:rsid w:val="00BF48CF"/>
    <w:rsid w:val="00BF6ED7"/>
    <w:rsid w:val="00C01B50"/>
    <w:rsid w:val="00C03771"/>
    <w:rsid w:val="00C05DE8"/>
    <w:rsid w:val="00C07595"/>
    <w:rsid w:val="00C107BC"/>
    <w:rsid w:val="00C11704"/>
    <w:rsid w:val="00C11A0F"/>
    <w:rsid w:val="00C155DF"/>
    <w:rsid w:val="00C16C67"/>
    <w:rsid w:val="00C17692"/>
    <w:rsid w:val="00C2033D"/>
    <w:rsid w:val="00C23F9F"/>
    <w:rsid w:val="00C256C7"/>
    <w:rsid w:val="00C26D55"/>
    <w:rsid w:val="00C34B47"/>
    <w:rsid w:val="00C4234C"/>
    <w:rsid w:val="00C42B7D"/>
    <w:rsid w:val="00C42E8B"/>
    <w:rsid w:val="00C43DFF"/>
    <w:rsid w:val="00C4552D"/>
    <w:rsid w:val="00C504AF"/>
    <w:rsid w:val="00C5561B"/>
    <w:rsid w:val="00C653D4"/>
    <w:rsid w:val="00C655DF"/>
    <w:rsid w:val="00C70F08"/>
    <w:rsid w:val="00C765AC"/>
    <w:rsid w:val="00C80696"/>
    <w:rsid w:val="00C95524"/>
    <w:rsid w:val="00CA0E0A"/>
    <w:rsid w:val="00CA14B9"/>
    <w:rsid w:val="00CA3F9C"/>
    <w:rsid w:val="00CA4DA5"/>
    <w:rsid w:val="00CA65B5"/>
    <w:rsid w:val="00CB7D04"/>
    <w:rsid w:val="00CC09E9"/>
    <w:rsid w:val="00CC1687"/>
    <w:rsid w:val="00CC1C89"/>
    <w:rsid w:val="00CC2B60"/>
    <w:rsid w:val="00CC350A"/>
    <w:rsid w:val="00CC40BA"/>
    <w:rsid w:val="00CC65B8"/>
    <w:rsid w:val="00CD0E99"/>
    <w:rsid w:val="00CD330D"/>
    <w:rsid w:val="00CD385D"/>
    <w:rsid w:val="00CD640E"/>
    <w:rsid w:val="00CE44D9"/>
    <w:rsid w:val="00CF29D2"/>
    <w:rsid w:val="00D01503"/>
    <w:rsid w:val="00D0755B"/>
    <w:rsid w:val="00D07D05"/>
    <w:rsid w:val="00D10CAF"/>
    <w:rsid w:val="00D1131E"/>
    <w:rsid w:val="00D16621"/>
    <w:rsid w:val="00D22A2F"/>
    <w:rsid w:val="00D22B92"/>
    <w:rsid w:val="00D22D2A"/>
    <w:rsid w:val="00D35F2F"/>
    <w:rsid w:val="00D36657"/>
    <w:rsid w:val="00D37967"/>
    <w:rsid w:val="00D43137"/>
    <w:rsid w:val="00D43A14"/>
    <w:rsid w:val="00D479DD"/>
    <w:rsid w:val="00D5023B"/>
    <w:rsid w:val="00D50CA8"/>
    <w:rsid w:val="00D511BC"/>
    <w:rsid w:val="00D51722"/>
    <w:rsid w:val="00D51DB8"/>
    <w:rsid w:val="00D57529"/>
    <w:rsid w:val="00D61A0F"/>
    <w:rsid w:val="00D62C36"/>
    <w:rsid w:val="00D6351C"/>
    <w:rsid w:val="00D71D2A"/>
    <w:rsid w:val="00D728EC"/>
    <w:rsid w:val="00D758EC"/>
    <w:rsid w:val="00D75AD3"/>
    <w:rsid w:val="00D75E42"/>
    <w:rsid w:val="00D800D1"/>
    <w:rsid w:val="00D862C3"/>
    <w:rsid w:val="00D91EC1"/>
    <w:rsid w:val="00D950DA"/>
    <w:rsid w:val="00DA20ED"/>
    <w:rsid w:val="00DA5629"/>
    <w:rsid w:val="00DB0D20"/>
    <w:rsid w:val="00DB2953"/>
    <w:rsid w:val="00DB2B23"/>
    <w:rsid w:val="00DB4817"/>
    <w:rsid w:val="00DB49C8"/>
    <w:rsid w:val="00DC10DF"/>
    <w:rsid w:val="00DC27F3"/>
    <w:rsid w:val="00DC3691"/>
    <w:rsid w:val="00DC4786"/>
    <w:rsid w:val="00DC77F8"/>
    <w:rsid w:val="00DD4C12"/>
    <w:rsid w:val="00DD4CDD"/>
    <w:rsid w:val="00DD6925"/>
    <w:rsid w:val="00DD7A2D"/>
    <w:rsid w:val="00DE4CBF"/>
    <w:rsid w:val="00DF0710"/>
    <w:rsid w:val="00DF1387"/>
    <w:rsid w:val="00DF5616"/>
    <w:rsid w:val="00DF5DE5"/>
    <w:rsid w:val="00DF7B68"/>
    <w:rsid w:val="00DF7BE6"/>
    <w:rsid w:val="00E04AD4"/>
    <w:rsid w:val="00E10495"/>
    <w:rsid w:val="00E104E6"/>
    <w:rsid w:val="00E10DEA"/>
    <w:rsid w:val="00E146FE"/>
    <w:rsid w:val="00E151D5"/>
    <w:rsid w:val="00E1732C"/>
    <w:rsid w:val="00E203C7"/>
    <w:rsid w:val="00E329DC"/>
    <w:rsid w:val="00E371B7"/>
    <w:rsid w:val="00E41701"/>
    <w:rsid w:val="00E43C2F"/>
    <w:rsid w:val="00E44E59"/>
    <w:rsid w:val="00E460A0"/>
    <w:rsid w:val="00E52CE1"/>
    <w:rsid w:val="00E52EA9"/>
    <w:rsid w:val="00E556F1"/>
    <w:rsid w:val="00E56367"/>
    <w:rsid w:val="00E60DF5"/>
    <w:rsid w:val="00E61B77"/>
    <w:rsid w:val="00E73F9A"/>
    <w:rsid w:val="00E74BF4"/>
    <w:rsid w:val="00E75566"/>
    <w:rsid w:val="00E75BED"/>
    <w:rsid w:val="00E81C88"/>
    <w:rsid w:val="00E85381"/>
    <w:rsid w:val="00E910E3"/>
    <w:rsid w:val="00EA4822"/>
    <w:rsid w:val="00EA603B"/>
    <w:rsid w:val="00EA6C70"/>
    <w:rsid w:val="00EB3E26"/>
    <w:rsid w:val="00EC2EF1"/>
    <w:rsid w:val="00EC41DD"/>
    <w:rsid w:val="00EC670D"/>
    <w:rsid w:val="00ED3152"/>
    <w:rsid w:val="00ED7B44"/>
    <w:rsid w:val="00EE1A08"/>
    <w:rsid w:val="00EE1CDA"/>
    <w:rsid w:val="00EE478D"/>
    <w:rsid w:val="00EF2AC3"/>
    <w:rsid w:val="00EF44A2"/>
    <w:rsid w:val="00F00FD1"/>
    <w:rsid w:val="00F044E1"/>
    <w:rsid w:val="00F05CA7"/>
    <w:rsid w:val="00F10D26"/>
    <w:rsid w:val="00F11D71"/>
    <w:rsid w:val="00F123A4"/>
    <w:rsid w:val="00F14508"/>
    <w:rsid w:val="00F1489A"/>
    <w:rsid w:val="00F200A4"/>
    <w:rsid w:val="00F2254E"/>
    <w:rsid w:val="00F27E68"/>
    <w:rsid w:val="00F31206"/>
    <w:rsid w:val="00F32265"/>
    <w:rsid w:val="00F37847"/>
    <w:rsid w:val="00F42AF2"/>
    <w:rsid w:val="00F630AA"/>
    <w:rsid w:val="00F6471F"/>
    <w:rsid w:val="00F6526E"/>
    <w:rsid w:val="00F6575B"/>
    <w:rsid w:val="00F664AC"/>
    <w:rsid w:val="00F7054A"/>
    <w:rsid w:val="00F72059"/>
    <w:rsid w:val="00F7266B"/>
    <w:rsid w:val="00F732A4"/>
    <w:rsid w:val="00F75A1B"/>
    <w:rsid w:val="00F77BB5"/>
    <w:rsid w:val="00F85A24"/>
    <w:rsid w:val="00F91AE1"/>
    <w:rsid w:val="00F92ABF"/>
    <w:rsid w:val="00F937AC"/>
    <w:rsid w:val="00F93FA7"/>
    <w:rsid w:val="00F968D2"/>
    <w:rsid w:val="00FA3A89"/>
    <w:rsid w:val="00FA5148"/>
    <w:rsid w:val="00FB140B"/>
    <w:rsid w:val="00FB421B"/>
    <w:rsid w:val="00FC180C"/>
    <w:rsid w:val="00FC23E7"/>
    <w:rsid w:val="00FC64FC"/>
    <w:rsid w:val="00FC6FE4"/>
    <w:rsid w:val="00FD0036"/>
    <w:rsid w:val="00FD3842"/>
    <w:rsid w:val="00FE46C0"/>
    <w:rsid w:val="00FE4DCA"/>
    <w:rsid w:val="00FF5573"/>
    <w:rsid w:val="2C7517A1"/>
    <w:rsid w:val="439B17F0"/>
    <w:rsid w:val="5F6B07E6"/>
    <w:rsid w:val="71E90146"/>
    <w:rsid w:val="75A05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4:docId w14:val="7C0E550B"/>
  <w15:docId w15:val="{3C246BFD-823F-4270-AB6E-8A27B0F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2"/>
      <w:szCs w:val="22"/>
      <w:lang w:val="zh-CN" w:eastAsia="en-US"/>
    </w:rPr>
  </w:style>
  <w:style w:type="paragraph" w:styleId="1">
    <w:name w:val="heading 1"/>
    <w:basedOn w:val="a"/>
    <w:next w:val="a"/>
    <w:link w:val="10"/>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nhideWhenUsed/>
    <w:qFormat/>
    <w:pPr>
      <w:keepNext/>
      <w:keepLines/>
      <w:spacing w:before="200"/>
      <w:outlineLvl w:val="3"/>
    </w:pPr>
    <w:rPr>
      <w:rFonts w:ascii="Cambria" w:eastAsia="Times New Roman" w:hAnsi="Cambria"/>
      <w:b/>
      <w:bCs/>
      <w:i/>
      <w:iCs/>
      <w:color w:val="4F81BD"/>
      <w:sz w:val="20"/>
      <w:szCs w:val="20"/>
    </w:rPr>
  </w:style>
  <w:style w:type="paragraph" w:styleId="5">
    <w:name w:val="heading 5"/>
    <w:basedOn w:val="a"/>
    <w:next w:val="a"/>
    <w:link w:val="50"/>
    <w:qFormat/>
    <w:rsid w:val="00010A67"/>
    <w:pPr>
      <w:keepNext/>
      <w:ind w:firstLine="709"/>
      <w:outlineLvl w:val="4"/>
    </w:pPr>
    <w:rPr>
      <w:rFonts w:ascii="$Caslon" w:eastAsia="Times New Roman" w:hAnsi="$Caslon"/>
      <w:sz w:val="24"/>
      <w:szCs w:val="20"/>
    </w:rPr>
  </w:style>
  <w:style w:type="paragraph" w:styleId="6">
    <w:name w:val="heading 6"/>
    <w:basedOn w:val="a"/>
    <w:next w:val="a"/>
    <w:link w:val="60"/>
    <w:qFormat/>
    <w:rsid w:val="00010A67"/>
    <w:pPr>
      <w:keepNext/>
      <w:ind w:firstLine="709"/>
      <w:outlineLvl w:val="5"/>
    </w:pPr>
    <w:rPr>
      <w:rFonts w:ascii="$Caslon" w:eastAsia="Times New Roman" w:hAnsi="$Caslon"/>
      <w:b/>
      <w:szCs w:val="20"/>
    </w:rPr>
  </w:style>
  <w:style w:type="paragraph" w:styleId="7">
    <w:name w:val="heading 7"/>
    <w:basedOn w:val="a"/>
    <w:next w:val="a"/>
    <w:link w:val="70"/>
    <w:qFormat/>
    <w:rsid w:val="00010A67"/>
    <w:pPr>
      <w:keepNext/>
      <w:ind w:firstLine="709"/>
      <w:outlineLvl w:val="6"/>
    </w:pPr>
    <w:rPr>
      <w:rFonts w:ascii="Garamond" w:eastAsia="Times New Roman" w:hAnsi="Garamond"/>
      <w:b/>
      <w:sz w:val="28"/>
      <w:szCs w:val="20"/>
      <w:lang w:val="en-US"/>
    </w:rPr>
  </w:style>
  <w:style w:type="paragraph" w:styleId="8">
    <w:name w:val="heading 8"/>
    <w:basedOn w:val="a"/>
    <w:next w:val="a"/>
    <w:link w:val="80"/>
    <w:qFormat/>
    <w:rsid w:val="00010A67"/>
    <w:pPr>
      <w:keepNext/>
      <w:ind w:firstLine="709"/>
      <w:outlineLvl w:val="7"/>
    </w:pPr>
    <w:rPr>
      <w:rFonts w:ascii="$Caslon" w:eastAsia="Times New Roman" w:hAnsi="$Caslo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Pr>
      <w:rFonts w:ascii="Cambria" w:eastAsia="Times New Roman" w:hAnsi="Cambria" w:cs="Times New Roman"/>
      <w:b/>
      <w:bCs/>
      <w:color w:val="365F91"/>
      <w:sz w:val="28"/>
      <w:szCs w:val="28"/>
      <w:lang w:val="zh-CN"/>
    </w:rPr>
  </w:style>
  <w:style w:type="character" w:customStyle="1" w:styleId="20">
    <w:name w:val="Заголовок 2 Знак"/>
    <w:link w:val="2"/>
    <w:uiPriority w:val="9"/>
    <w:qFormat/>
    <w:rPr>
      <w:rFonts w:ascii="Cambria" w:eastAsia="Times New Roman" w:hAnsi="Cambria" w:cs="Times New Roman"/>
      <w:b/>
      <w:bCs/>
      <w:color w:val="4F81BD"/>
      <w:sz w:val="26"/>
      <w:szCs w:val="26"/>
      <w:lang w:val="zh-CN"/>
    </w:rPr>
  </w:style>
  <w:style w:type="character" w:customStyle="1" w:styleId="30">
    <w:name w:val="Заголовок 3 Знак"/>
    <w:link w:val="3"/>
    <w:qFormat/>
    <w:rPr>
      <w:rFonts w:ascii="Cambria" w:eastAsia="Times New Roman" w:hAnsi="Cambria" w:cs="Times New Roman"/>
      <w:b/>
      <w:bCs/>
      <w:color w:val="4F81BD"/>
      <w:lang w:val="zh-CN"/>
    </w:rPr>
  </w:style>
  <w:style w:type="character" w:customStyle="1" w:styleId="40">
    <w:name w:val="Заголовок 4 Знак"/>
    <w:link w:val="4"/>
    <w:qFormat/>
    <w:rPr>
      <w:rFonts w:ascii="Cambria" w:eastAsia="Times New Roman" w:hAnsi="Cambria" w:cs="Times New Roman"/>
      <w:b/>
      <w:bCs/>
      <w:i/>
      <w:iCs/>
      <w:color w:val="4F81BD"/>
      <w:lang w:val="zh-CN"/>
    </w:rPr>
  </w:style>
  <w:style w:type="character" w:customStyle="1" w:styleId="50">
    <w:name w:val="Заголовок 5 Знак"/>
    <w:basedOn w:val="a0"/>
    <w:link w:val="5"/>
    <w:qFormat/>
    <w:rsid w:val="00010A67"/>
    <w:rPr>
      <w:rFonts w:ascii="$Caslon" w:eastAsia="Times New Roman" w:hAnsi="$Caslon"/>
      <w:sz w:val="24"/>
      <w:lang w:val="zh-CN" w:eastAsia="en-US"/>
    </w:rPr>
  </w:style>
  <w:style w:type="character" w:customStyle="1" w:styleId="60">
    <w:name w:val="Заголовок 6 Знак"/>
    <w:basedOn w:val="a0"/>
    <w:link w:val="6"/>
    <w:qFormat/>
    <w:rsid w:val="00010A67"/>
    <w:rPr>
      <w:rFonts w:ascii="$Caslon" w:eastAsia="Times New Roman" w:hAnsi="$Caslon"/>
      <w:b/>
      <w:sz w:val="22"/>
      <w:lang w:val="zh-CN" w:eastAsia="en-US"/>
    </w:rPr>
  </w:style>
  <w:style w:type="character" w:customStyle="1" w:styleId="70">
    <w:name w:val="Заголовок 7 Знак"/>
    <w:basedOn w:val="a0"/>
    <w:link w:val="7"/>
    <w:qFormat/>
    <w:rsid w:val="00010A67"/>
    <w:rPr>
      <w:rFonts w:ascii="Garamond" w:eastAsia="Times New Roman" w:hAnsi="Garamond"/>
      <w:b/>
      <w:sz w:val="28"/>
      <w:lang w:val="en-US" w:eastAsia="en-US"/>
    </w:rPr>
  </w:style>
  <w:style w:type="character" w:customStyle="1" w:styleId="80">
    <w:name w:val="Заголовок 8 Знак"/>
    <w:basedOn w:val="a0"/>
    <w:link w:val="8"/>
    <w:qFormat/>
    <w:rsid w:val="00010A67"/>
    <w:rPr>
      <w:rFonts w:ascii="$Caslon" w:eastAsia="Times New Roman" w:hAnsi="$Caslon"/>
      <w:b/>
      <w:sz w:val="24"/>
      <w:lang w:val="en-US" w:eastAsia="en-US"/>
    </w:rPr>
  </w:style>
  <w:style w:type="paragraph" w:styleId="a3">
    <w:name w:val="Balloon Text"/>
    <w:basedOn w:val="a"/>
    <w:link w:val="a4"/>
    <w:uiPriority w:val="99"/>
    <w:unhideWhenUsed/>
    <w:qFormat/>
    <w:rPr>
      <w:rFonts w:ascii="Tahoma" w:hAnsi="Tahoma"/>
      <w:sz w:val="16"/>
      <w:szCs w:val="16"/>
    </w:rPr>
  </w:style>
  <w:style w:type="character" w:customStyle="1" w:styleId="a4">
    <w:name w:val="Текст выноски Знак"/>
    <w:link w:val="a3"/>
    <w:uiPriority w:val="99"/>
    <w:qFormat/>
    <w:rPr>
      <w:rFonts w:ascii="Tahoma" w:hAnsi="Tahoma" w:cs="Tahoma"/>
      <w:sz w:val="16"/>
      <w:szCs w:val="16"/>
      <w:lang w:val="zh-CN"/>
    </w:rPr>
  </w:style>
  <w:style w:type="paragraph" w:styleId="a5">
    <w:name w:val="Body Text"/>
    <w:basedOn w:val="a"/>
    <w:link w:val="a6"/>
    <w:uiPriority w:val="1"/>
    <w:qFormat/>
    <w:pPr>
      <w:widowControl w:val="0"/>
      <w:autoSpaceDE w:val="0"/>
      <w:autoSpaceDN w:val="0"/>
      <w:ind w:left="118"/>
      <w:jc w:val="both"/>
    </w:pPr>
    <w:rPr>
      <w:rFonts w:ascii="Times New Roman" w:eastAsia="Times New Roman" w:hAnsi="Times New Roman"/>
      <w:sz w:val="24"/>
      <w:szCs w:val="24"/>
      <w:lang w:val="ro-RO"/>
    </w:rPr>
  </w:style>
  <w:style w:type="character" w:customStyle="1" w:styleId="a6">
    <w:name w:val="Основной текст Знак"/>
    <w:basedOn w:val="a0"/>
    <w:link w:val="a5"/>
    <w:uiPriority w:val="1"/>
    <w:qFormat/>
    <w:rPr>
      <w:rFonts w:ascii="Times New Roman" w:eastAsia="Times New Roman" w:hAnsi="Times New Roman"/>
      <w:sz w:val="24"/>
      <w:szCs w:val="24"/>
      <w:lang w:val="ro-RO" w:eastAsia="en-US"/>
    </w:rPr>
  </w:style>
  <w:style w:type="paragraph" w:styleId="a7">
    <w:name w:val="caption"/>
    <w:basedOn w:val="a"/>
    <w:next w:val="a"/>
    <w:uiPriority w:val="35"/>
    <w:unhideWhenUsed/>
    <w:qFormat/>
    <w:pPr>
      <w:spacing w:after="200"/>
    </w:pPr>
    <w:rPr>
      <w:b/>
      <w:bCs/>
      <w:color w:val="4F81BD" w:themeColor="accent1"/>
      <w:sz w:val="18"/>
      <w:szCs w:val="18"/>
    </w:rPr>
  </w:style>
  <w:style w:type="paragraph" w:styleId="a8">
    <w:name w:val="footer"/>
    <w:basedOn w:val="a"/>
    <w:link w:val="a9"/>
    <w:unhideWhenUsed/>
    <w:qFormat/>
    <w:pPr>
      <w:tabs>
        <w:tab w:val="center" w:pos="4677"/>
        <w:tab w:val="right" w:pos="9355"/>
      </w:tabs>
    </w:pPr>
    <w:rPr>
      <w:sz w:val="20"/>
      <w:szCs w:val="20"/>
    </w:rPr>
  </w:style>
  <w:style w:type="character" w:customStyle="1" w:styleId="a9">
    <w:name w:val="Нижний колонтитул Знак"/>
    <w:link w:val="a8"/>
    <w:uiPriority w:val="99"/>
    <w:qFormat/>
    <w:rPr>
      <w:lang w:val="zh-CN"/>
    </w:rPr>
  </w:style>
  <w:style w:type="character" w:styleId="aa">
    <w:name w:val="footnote reference"/>
    <w:uiPriority w:val="99"/>
    <w:unhideWhenUsed/>
    <w:qFormat/>
    <w:rPr>
      <w:vertAlign w:val="superscript"/>
    </w:rPr>
  </w:style>
  <w:style w:type="paragraph" w:styleId="ab">
    <w:name w:val="footnote text"/>
    <w:basedOn w:val="a"/>
    <w:link w:val="ac"/>
    <w:uiPriority w:val="99"/>
    <w:unhideWhenUsed/>
    <w:qFormat/>
    <w:rPr>
      <w:sz w:val="20"/>
      <w:szCs w:val="20"/>
    </w:rPr>
  </w:style>
  <w:style w:type="character" w:customStyle="1" w:styleId="ac">
    <w:name w:val="Текст сноски Знак"/>
    <w:link w:val="ab"/>
    <w:uiPriority w:val="99"/>
    <w:qFormat/>
    <w:rPr>
      <w:sz w:val="20"/>
      <w:szCs w:val="20"/>
      <w:lang w:val="zh-CN"/>
    </w:rPr>
  </w:style>
  <w:style w:type="paragraph" w:styleId="ad">
    <w:name w:val="header"/>
    <w:basedOn w:val="a"/>
    <w:link w:val="ae"/>
    <w:unhideWhenUsed/>
    <w:qFormat/>
    <w:pPr>
      <w:tabs>
        <w:tab w:val="center" w:pos="4677"/>
        <w:tab w:val="right" w:pos="9355"/>
      </w:tabs>
    </w:pPr>
    <w:rPr>
      <w:sz w:val="20"/>
      <w:szCs w:val="20"/>
    </w:rPr>
  </w:style>
  <w:style w:type="character" w:customStyle="1" w:styleId="ae">
    <w:name w:val="Верхний колонтитул Знак"/>
    <w:link w:val="ad"/>
    <w:uiPriority w:val="99"/>
    <w:qFormat/>
    <w:rPr>
      <w:lang w:val="zh-CN"/>
    </w:rPr>
  </w:style>
  <w:style w:type="character" w:styleId="af">
    <w:name w:val="Hyperlink"/>
    <w:uiPriority w:val="99"/>
    <w:unhideWhenUsed/>
    <w:qFormat/>
    <w:rPr>
      <w:color w:val="0000FF"/>
      <w:u w:val="single"/>
    </w:rPr>
  </w:style>
  <w:style w:type="paragraph" w:styleId="af0">
    <w:name w:val="Normal (Web)"/>
    <w:basedOn w:val="a"/>
    <w:uiPriority w:val="99"/>
    <w:qFormat/>
    <w:pPr>
      <w:ind w:firstLine="567"/>
      <w:jc w:val="both"/>
    </w:pPr>
    <w:rPr>
      <w:rFonts w:ascii="Times New Roman" w:eastAsia="Times New Roman" w:hAnsi="Times New Roman"/>
      <w:sz w:val="24"/>
      <w:szCs w:val="24"/>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before="360"/>
      <w:jc w:val="left"/>
    </w:pPr>
    <w:rPr>
      <w:rFonts w:ascii="Cambria" w:hAnsi="Cambria"/>
      <w:b/>
      <w:bCs/>
      <w:caps/>
      <w:sz w:val="24"/>
      <w:szCs w:val="24"/>
    </w:rPr>
  </w:style>
  <w:style w:type="paragraph" w:styleId="21">
    <w:name w:val="toc 2"/>
    <w:basedOn w:val="a"/>
    <w:next w:val="a"/>
    <w:uiPriority w:val="39"/>
    <w:unhideWhenUsed/>
    <w:qFormat/>
    <w:pPr>
      <w:spacing w:before="240"/>
      <w:jc w:val="left"/>
    </w:pPr>
    <w:rPr>
      <w:b/>
      <w:bCs/>
      <w:sz w:val="20"/>
      <w:szCs w:val="20"/>
    </w:rPr>
  </w:style>
  <w:style w:type="paragraph" w:styleId="31">
    <w:name w:val="toc 3"/>
    <w:basedOn w:val="a"/>
    <w:next w:val="a"/>
    <w:uiPriority w:val="39"/>
    <w:unhideWhenUsed/>
    <w:qFormat/>
    <w:pPr>
      <w:ind w:left="220"/>
      <w:jc w:val="left"/>
    </w:pPr>
    <w:rPr>
      <w:sz w:val="20"/>
      <w:szCs w:val="20"/>
    </w:rPr>
  </w:style>
  <w:style w:type="paragraph" w:styleId="41">
    <w:name w:val="toc 4"/>
    <w:basedOn w:val="a"/>
    <w:next w:val="a"/>
    <w:uiPriority w:val="39"/>
    <w:unhideWhenUsed/>
    <w:pPr>
      <w:ind w:left="440"/>
      <w:jc w:val="left"/>
    </w:pPr>
    <w:rPr>
      <w:sz w:val="20"/>
      <w:szCs w:val="20"/>
    </w:rPr>
  </w:style>
  <w:style w:type="paragraph" w:styleId="51">
    <w:name w:val="toc 5"/>
    <w:basedOn w:val="a"/>
    <w:next w:val="a"/>
    <w:uiPriority w:val="39"/>
    <w:unhideWhenUsed/>
    <w:pPr>
      <w:ind w:left="660"/>
      <w:jc w:val="left"/>
    </w:pPr>
    <w:rPr>
      <w:sz w:val="20"/>
      <w:szCs w:val="20"/>
    </w:rPr>
  </w:style>
  <w:style w:type="paragraph" w:styleId="61">
    <w:name w:val="toc 6"/>
    <w:basedOn w:val="a"/>
    <w:next w:val="a"/>
    <w:uiPriority w:val="39"/>
    <w:unhideWhenUsed/>
    <w:qFormat/>
    <w:pPr>
      <w:ind w:left="880"/>
      <w:jc w:val="left"/>
    </w:pPr>
    <w:rPr>
      <w:sz w:val="20"/>
      <w:szCs w:val="20"/>
    </w:rPr>
  </w:style>
  <w:style w:type="paragraph" w:styleId="71">
    <w:name w:val="toc 7"/>
    <w:basedOn w:val="a"/>
    <w:next w:val="a"/>
    <w:uiPriority w:val="39"/>
    <w:unhideWhenUsed/>
    <w:qFormat/>
    <w:pPr>
      <w:ind w:left="1100"/>
      <w:jc w:val="left"/>
    </w:pPr>
    <w:rPr>
      <w:sz w:val="20"/>
      <w:szCs w:val="20"/>
    </w:rPr>
  </w:style>
  <w:style w:type="paragraph" w:styleId="81">
    <w:name w:val="toc 8"/>
    <w:basedOn w:val="a"/>
    <w:next w:val="a"/>
    <w:uiPriority w:val="39"/>
    <w:unhideWhenUsed/>
    <w:qFormat/>
    <w:pPr>
      <w:ind w:left="1320"/>
      <w:jc w:val="left"/>
    </w:pPr>
    <w:rPr>
      <w:sz w:val="20"/>
      <w:szCs w:val="20"/>
    </w:rPr>
  </w:style>
  <w:style w:type="paragraph" w:styleId="9">
    <w:name w:val="toc 9"/>
    <w:basedOn w:val="a"/>
    <w:next w:val="a"/>
    <w:uiPriority w:val="39"/>
    <w:unhideWhenUsed/>
    <w:qFormat/>
    <w:pPr>
      <w:ind w:left="1540"/>
      <w:jc w:val="left"/>
    </w:pPr>
    <w:rPr>
      <w:sz w:val="20"/>
      <w:szCs w:val="20"/>
    </w:rPr>
  </w:style>
  <w:style w:type="paragraph" w:styleId="af2">
    <w:name w:val="List Paragraph"/>
    <w:aliases w:val="Cablenet,Listă paragraf"/>
    <w:basedOn w:val="a"/>
    <w:link w:val="af3"/>
    <w:uiPriority w:val="34"/>
    <w:qFormat/>
    <w:pPr>
      <w:ind w:left="720"/>
      <w:contextualSpacing/>
    </w:pPr>
    <w:rPr>
      <w:sz w:val="20"/>
      <w:szCs w:val="20"/>
    </w:rPr>
  </w:style>
  <w:style w:type="character" w:customStyle="1" w:styleId="af3">
    <w:name w:val="Абзац списка Знак"/>
    <w:aliases w:val="Cablenet Знак,Listă paragraf Знак"/>
    <w:link w:val="af2"/>
    <w:uiPriority w:val="34"/>
    <w:qFormat/>
    <w:locked/>
    <w:rPr>
      <w:lang w:val="zh-CN"/>
    </w:rPr>
  </w:style>
  <w:style w:type="paragraph" w:customStyle="1" w:styleId="12">
    <w:name w:val="Заголовок оглавления1"/>
    <w:basedOn w:val="1"/>
    <w:next w:val="a"/>
    <w:uiPriority w:val="39"/>
    <w:unhideWhenUsed/>
    <w:qFormat/>
    <w:pPr>
      <w:spacing w:line="276" w:lineRule="auto"/>
      <w:jc w:val="left"/>
      <w:outlineLvl w:val="9"/>
    </w:pPr>
    <w:rPr>
      <w:lang w:val="ro-RO" w:eastAsia="ro-RO"/>
    </w:rPr>
  </w:style>
  <w:style w:type="character" w:customStyle="1" w:styleId="apple-converted-space">
    <w:name w:val="apple-converted-space"/>
    <w:qFormat/>
  </w:style>
  <w:style w:type="character" w:customStyle="1" w:styleId="fontstyle01">
    <w:name w:val="fontstyle01"/>
    <w:qFormat/>
    <w:rPr>
      <w:rFonts w:ascii="Calibri" w:hAnsi="Calibri" w:hint="default"/>
      <w:b/>
      <w:bCs/>
      <w:color w:val="000000"/>
      <w:sz w:val="20"/>
      <w:szCs w:val="20"/>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longtext">
    <w:name w:val="long_text"/>
    <w:qFormat/>
  </w:style>
  <w:style w:type="character" w:customStyle="1" w:styleId="longtext1">
    <w:name w:val="long_text1"/>
    <w:qFormat/>
    <w:rPr>
      <w:sz w:val="17"/>
      <w:szCs w:val="17"/>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jc w:val="left"/>
    </w:pPr>
    <w:rPr>
      <w:rFonts w:ascii="Times New Roman" w:eastAsia="Times New Roman" w:hAnsi="Times New Roman"/>
      <w:lang w:val="ro-RO"/>
    </w:rPr>
  </w:style>
  <w:style w:type="table" w:customStyle="1" w:styleId="13">
    <w:name w:val="Обычная таблица1"/>
    <w:semiHidden/>
    <w:qFormat/>
    <w:pPr>
      <w:spacing w:before="100" w:beforeAutospacing="1" w:after="100" w:afterAutospacing="1" w:line="254" w:lineRule="auto"/>
    </w:pPr>
    <w:rPr>
      <w:rFonts w:eastAsia="Times New Roman"/>
      <w:lang w:eastAsia="en-US"/>
    </w:rPr>
    <w:tblPr>
      <w:tblCellMar>
        <w:top w:w="0" w:type="dxa"/>
        <w:left w:w="0" w:type="dxa"/>
        <w:bottom w:w="0" w:type="dxa"/>
        <w:right w:w="0" w:type="dxa"/>
      </w:tblCellMar>
    </w:tblPr>
  </w:style>
  <w:style w:type="paragraph" w:customStyle="1" w:styleId="14">
    <w:name w:val="Обычный1"/>
    <w:qFormat/>
    <w:rPr>
      <w:rFonts w:eastAsia="Times New Roman"/>
      <w:sz w:val="24"/>
      <w:szCs w:val="24"/>
      <w:lang w:val="ru-RU" w:eastAsia="ru-RU"/>
    </w:rPr>
  </w:style>
  <w:style w:type="character" w:customStyle="1" w:styleId="af4">
    <w:name w:val="Основной текст + Полужирный"/>
    <w:rsid w:val="00A7202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2">
    <w:name w:val="Заголовок №2_"/>
    <w:link w:val="23"/>
    <w:rsid w:val="00A72022"/>
    <w:rPr>
      <w:sz w:val="25"/>
      <w:szCs w:val="25"/>
      <w:shd w:val="clear" w:color="auto" w:fill="FFFFFF"/>
    </w:rPr>
  </w:style>
  <w:style w:type="paragraph" w:customStyle="1" w:styleId="23">
    <w:name w:val="Заголовок №2"/>
    <w:basedOn w:val="a"/>
    <w:link w:val="22"/>
    <w:rsid w:val="00A72022"/>
    <w:pPr>
      <w:shd w:val="clear" w:color="auto" w:fill="FFFFFF"/>
      <w:spacing w:before="240" w:line="326" w:lineRule="exact"/>
      <w:outlineLvl w:val="1"/>
    </w:pPr>
    <w:rPr>
      <w:sz w:val="25"/>
      <w:szCs w:val="25"/>
      <w:lang w:val="ro-RO" w:eastAsia="ro-RO"/>
    </w:rPr>
  </w:style>
  <w:style w:type="character" w:styleId="af5">
    <w:name w:val="annotation reference"/>
    <w:uiPriority w:val="99"/>
    <w:qFormat/>
    <w:rsid w:val="00010A67"/>
    <w:rPr>
      <w:sz w:val="16"/>
      <w:szCs w:val="16"/>
    </w:rPr>
  </w:style>
  <w:style w:type="paragraph" w:styleId="af6">
    <w:name w:val="annotation text"/>
    <w:basedOn w:val="a"/>
    <w:link w:val="af7"/>
    <w:uiPriority w:val="99"/>
    <w:qFormat/>
    <w:rsid w:val="00010A67"/>
    <w:pPr>
      <w:jc w:val="left"/>
    </w:pPr>
    <w:rPr>
      <w:rFonts w:ascii="Times New Roman" w:eastAsia="Times New Roman" w:hAnsi="Times New Roman"/>
      <w:sz w:val="20"/>
      <w:szCs w:val="20"/>
      <w:lang w:val="ro-RO" w:eastAsia="ru-RU"/>
    </w:rPr>
  </w:style>
  <w:style w:type="character" w:customStyle="1" w:styleId="af7">
    <w:name w:val="Текст примечания Знак"/>
    <w:basedOn w:val="a0"/>
    <w:link w:val="af6"/>
    <w:uiPriority w:val="99"/>
    <w:qFormat/>
    <w:rsid w:val="00010A67"/>
    <w:rPr>
      <w:rFonts w:ascii="Times New Roman" w:eastAsia="Times New Roman" w:hAnsi="Times New Roman"/>
      <w:lang w:eastAsia="ru-RU"/>
    </w:rPr>
  </w:style>
  <w:style w:type="paragraph" w:styleId="af8">
    <w:name w:val="annotation subject"/>
    <w:basedOn w:val="af6"/>
    <w:next w:val="af6"/>
    <w:link w:val="af9"/>
    <w:uiPriority w:val="99"/>
    <w:qFormat/>
    <w:rsid w:val="00010A67"/>
    <w:rPr>
      <w:b/>
      <w:bCs/>
    </w:rPr>
  </w:style>
  <w:style w:type="character" w:customStyle="1" w:styleId="af9">
    <w:name w:val="Тема примечания Знак"/>
    <w:basedOn w:val="af7"/>
    <w:link w:val="af8"/>
    <w:uiPriority w:val="99"/>
    <w:qFormat/>
    <w:rsid w:val="00010A67"/>
    <w:rPr>
      <w:rFonts w:ascii="Times New Roman" w:eastAsia="Times New Roman" w:hAnsi="Times New Roman"/>
      <w:b/>
      <w:bCs/>
      <w:lang w:eastAsia="ru-RU"/>
    </w:rPr>
  </w:style>
  <w:style w:type="character" w:styleId="afa">
    <w:name w:val="Emphasis"/>
    <w:basedOn w:val="a0"/>
    <w:uiPriority w:val="20"/>
    <w:qFormat/>
    <w:rsid w:val="00010A67"/>
    <w:rPr>
      <w:i/>
      <w:iCs/>
    </w:rPr>
  </w:style>
  <w:style w:type="paragraph" w:styleId="HTML">
    <w:name w:val="HTML Preformatted"/>
    <w:basedOn w:val="a"/>
    <w:link w:val="HTML0"/>
    <w:uiPriority w:val="99"/>
    <w:unhideWhenUsed/>
    <w:qFormat/>
    <w:rsid w:val="00010A67"/>
    <w:pPr>
      <w:jc w:val="left"/>
    </w:pPr>
    <w:rPr>
      <w:rFonts w:ascii="Consolas" w:eastAsia="Times New Roman" w:hAnsi="Consolas"/>
      <w:sz w:val="20"/>
      <w:szCs w:val="20"/>
      <w:lang w:val="en-US"/>
    </w:rPr>
  </w:style>
  <w:style w:type="character" w:customStyle="1" w:styleId="HTML0">
    <w:name w:val="Стандартный HTML Знак"/>
    <w:basedOn w:val="a0"/>
    <w:link w:val="HTML"/>
    <w:uiPriority w:val="99"/>
    <w:qFormat/>
    <w:rsid w:val="00010A67"/>
    <w:rPr>
      <w:rFonts w:ascii="Consolas" w:eastAsia="Times New Roman" w:hAnsi="Consolas"/>
      <w:lang w:val="en-US" w:eastAsia="en-US"/>
    </w:rPr>
  </w:style>
  <w:style w:type="character" w:styleId="afb">
    <w:name w:val="page number"/>
    <w:basedOn w:val="a0"/>
    <w:qFormat/>
    <w:rsid w:val="00010A67"/>
  </w:style>
  <w:style w:type="character" w:styleId="afc">
    <w:name w:val="Strong"/>
    <w:uiPriority w:val="22"/>
    <w:qFormat/>
    <w:rsid w:val="00010A67"/>
    <w:rPr>
      <w:b/>
      <w:bCs/>
    </w:rPr>
  </w:style>
  <w:style w:type="paragraph" w:styleId="afd">
    <w:name w:val="Title"/>
    <w:basedOn w:val="a"/>
    <w:link w:val="afe"/>
    <w:uiPriority w:val="10"/>
    <w:qFormat/>
    <w:rsid w:val="00010A67"/>
    <w:pPr>
      <w:widowControl w:val="0"/>
      <w:autoSpaceDE w:val="0"/>
      <w:autoSpaceDN w:val="0"/>
      <w:spacing w:line="319" w:lineRule="exact"/>
      <w:ind w:left="4619"/>
      <w:jc w:val="left"/>
    </w:pPr>
    <w:rPr>
      <w:rFonts w:ascii="Times New Roman" w:eastAsia="Times New Roman" w:hAnsi="Times New Roman"/>
      <w:b/>
      <w:bCs/>
      <w:sz w:val="28"/>
      <w:szCs w:val="28"/>
      <w:lang w:val="ro-RO"/>
    </w:rPr>
  </w:style>
  <w:style w:type="character" w:customStyle="1" w:styleId="afe">
    <w:name w:val="Заголовок Знак"/>
    <w:basedOn w:val="a0"/>
    <w:link w:val="afd"/>
    <w:uiPriority w:val="10"/>
    <w:rsid w:val="00010A67"/>
    <w:rPr>
      <w:rFonts w:ascii="Times New Roman" w:eastAsia="Times New Roman" w:hAnsi="Times New Roman"/>
      <w:b/>
      <w:bCs/>
      <w:sz w:val="28"/>
      <w:szCs w:val="28"/>
      <w:lang w:eastAsia="en-US"/>
    </w:rPr>
  </w:style>
  <w:style w:type="paragraph" w:customStyle="1" w:styleId="CharChar">
    <w:name w:val="Знак Знак Char Char Знак"/>
    <w:basedOn w:val="a"/>
    <w:qFormat/>
    <w:rsid w:val="00010A67"/>
    <w:pPr>
      <w:spacing w:after="160" w:line="240" w:lineRule="exact"/>
      <w:jc w:val="left"/>
    </w:pPr>
    <w:rPr>
      <w:rFonts w:ascii="Arial" w:eastAsia="Batang" w:hAnsi="Arial" w:cs="Arial"/>
      <w:sz w:val="20"/>
      <w:szCs w:val="20"/>
      <w:lang w:val="en-US"/>
    </w:rPr>
  </w:style>
  <w:style w:type="paragraph" w:customStyle="1" w:styleId="cn">
    <w:name w:val="cn"/>
    <w:basedOn w:val="a"/>
    <w:qFormat/>
    <w:rsid w:val="00010A67"/>
    <w:rPr>
      <w:rFonts w:ascii="Times New Roman" w:eastAsia="Times New Roman" w:hAnsi="Times New Roman"/>
      <w:sz w:val="24"/>
      <w:szCs w:val="24"/>
      <w:lang w:val="ru-RU" w:eastAsia="ru-RU"/>
    </w:rPr>
  </w:style>
  <w:style w:type="paragraph" w:customStyle="1" w:styleId="news">
    <w:name w:val="news"/>
    <w:basedOn w:val="a"/>
    <w:qFormat/>
    <w:rsid w:val="00010A67"/>
    <w:pPr>
      <w:jc w:val="left"/>
    </w:pPr>
    <w:rPr>
      <w:rFonts w:ascii="Arial" w:eastAsia="Times New Roman" w:hAnsi="Arial" w:cs="Arial"/>
      <w:sz w:val="20"/>
      <w:szCs w:val="20"/>
      <w:lang w:val="ru-RU" w:eastAsia="ru-RU"/>
    </w:rPr>
  </w:style>
  <w:style w:type="paragraph" w:customStyle="1" w:styleId="tt">
    <w:name w:val="tt"/>
    <w:basedOn w:val="a"/>
    <w:qFormat/>
    <w:rsid w:val="00010A67"/>
    <w:rPr>
      <w:rFonts w:ascii="Times New Roman" w:eastAsia="Times New Roman" w:hAnsi="Times New Roman"/>
      <w:b/>
      <w:bCs/>
      <w:sz w:val="24"/>
      <w:szCs w:val="24"/>
      <w:lang w:val="ru-RU" w:eastAsia="ru-RU"/>
    </w:rPr>
  </w:style>
  <w:style w:type="paragraph" w:customStyle="1" w:styleId="CharChar0">
    <w:name w:val="Char Char Знак Знак"/>
    <w:basedOn w:val="a"/>
    <w:qFormat/>
    <w:rsid w:val="00010A67"/>
    <w:pPr>
      <w:spacing w:after="160" w:line="240" w:lineRule="exact"/>
      <w:jc w:val="left"/>
    </w:pPr>
    <w:rPr>
      <w:rFonts w:ascii="Arial" w:eastAsia="Batang" w:hAnsi="Arial" w:cs="Arial"/>
      <w:sz w:val="20"/>
      <w:szCs w:val="20"/>
      <w:lang w:val="en-US"/>
    </w:rPr>
  </w:style>
  <w:style w:type="character" w:customStyle="1" w:styleId="docheader1">
    <w:name w:val="doc_header1"/>
    <w:qFormat/>
    <w:rsid w:val="00010A67"/>
    <w:rPr>
      <w:rFonts w:ascii="Times New Roman" w:hAnsi="Times New Roman" w:cs="Times New Roman" w:hint="default"/>
      <w:b/>
      <w:bCs/>
      <w:color w:val="000000"/>
      <w:sz w:val="24"/>
      <w:szCs w:val="24"/>
    </w:rPr>
  </w:style>
  <w:style w:type="character" w:customStyle="1" w:styleId="docsign11">
    <w:name w:val="doc_sign11"/>
    <w:qFormat/>
    <w:rsid w:val="00010A67"/>
    <w:rPr>
      <w:rFonts w:ascii="Times New Roman" w:hAnsi="Times New Roman" w:cs="Times New Roman" w:hint="default"/>
      <w:b/>
      <w:bCs/>
      <w:color w:val="000000"/>
      <w:sz w:val="22"/>
      <w:szCs w:val="22"/>
    </w:rPr>
  </w:style>
  <w:style w:type="character" w:customStyle="1" w:styleId="sttart">
    <w:name w:val="st_tart"/>
    <w:basedOn w:val="a0"/>
    <w:qFormat/>
    <w:rsid w:val="00010A67"/>
  </w:style>
  <w:style w:type="character" w:customStyle="1" w:styleId="tal1">
    <w:name w:val="tal1"/>
    <w:qFormat/>
    <w:rsid w:val="00010A67"/>
  </w:style>
  <w:style w:type="table" w:customStyle="1" w:styleId="GrilTabel2">
    <w:name w:val="Grilă Tabel2"/>
    <w:basedOn w:val="a1"/>
    <w:qFormat/>
    <w:rsid w:val="00010A6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qFormat/>
    <w:rsid w:val="00010A67"/>
    <w:pPr>
      <w:spacing w:before="100" w:beforeAutospacing="1" w:after="100" w:afterAutospacing="1"/>
      <w:ind w:firstLine="200"/>
      <w:jc w:val="both"/>
    </w:pPr>
    <w:rPr>
      <w:rFonts w:ascii="Verdana" w:eastAsia="Times New Roman" w:hAnsi="Verdana"/>
      <w:color w:val="033778"/>
      <w:sz w:val="21"/>
      <w:szCs w:val="21"/>
      <w:lang w:val="en-US" w:eastAsia="zh-CN"/>
    </w:rPr>
  </w:style>
  <w:style w:type="character" w:customStyle="1" w:styleId="def">
    <w:name w:val="def"/>
    <w:qFormat/>
    <w:rsid w:val="00010A67"/>
  </w:style>
  <w:style w:type="paragraph" w:customStyle="1" w:styleId="cnam1">
    <w:name w:val="cnam1"/>
    <w:basedOn w:val="a"/>
    <w:qFormat/>
    <w:rsid w:val="00010A67"/>
    <w:pPr>
      <w:spacing w:before="100" w:beforeAutospacing="1" w:after="100" w:afterAutospacing="1"/>
      <w:jc w:val="left"/>
    </w:pPr>
    <w:rPr>
      <w:rFonts w:ascii="Times New Roman" w:eastAsia="Times New Roman" w:hAnsi="Times New Roman"/>
      <w:color w:val="2D2D2D"/>
      <w:sz w:val="29"/>
      <w:szCs w:val="29"/>
      <w:lang w:val="en-US" w:eastAsia="zh-CN"/>
    </w:rPr>
  </w:style>
  <w:style w:type="character" w:customStyle="1" w:styleId="docheader">
    <w:name w:val="doc_header"/>
    <w:qFormat/>
    <w:rsid w:val="00010A67"/>
  </w:style>
  <w:style w:type="paragraph" w:customStyle="1" w:styleId="Style2">
    <w:name w:val="Style2"/>
    <w:basedOn w:val="a"/>
    <w:uiPriority w:val="99"/>
    <w:qFormat/>
    <w:rsid w:val="00010A67"/>
    <w:pPr>
      <w:widowControl w:val="0"/>
      <w:autoSpaceDE w:val="0"/>
      <w:autoSpaceDN w:val="0"/>
      <w:adjustRightInd w:val="0"/>
      <w:spacing w:line="373" w:lineRule="exact"/>
      <w:ind w:firstLine="696"/>
      <w:jc w:val="both"/>
    </w:pPr>
    <w:rPr>
      <w:rFonts w:ascii="Times New Roman" w:hAnsi="Times New Roman"/>
      <w:sz w:val="24"/>
      <w:szCs w:val="24"/>
      <w:lang w:val="ru-RU" w:eastAsia="ru-RU"/>
    </w:rPr>
  </w:style>
  <w:style w:type="paragraph" w:customStyle="1" w:styleId="Style8">
    <w:name w:val="Style8"/>
    <w:basedOn w:val="a"/>
    <w:uiPriority w:val="99"/>
    <w:qFormat/>
    <w:rsid w:val="00010A67"/>
    <w:pPr>
      <w:widowControl w:val="0"/>
      <w:autoSpaceDE w:val="0"/>
      <w:autoSpaceDN w:val="0"/>
      <w:adjustRightInd w:val="0"/>
      <w:spacing w:line="317" w:lineRule="exact"/>
      <w:jc w:val="left"/>
    </w:pPr>
    <w:rPr>
      <w:rFonts w:ascii="Times New Roman" w:hAnsi="Times New Roman"/>
      <w:sz w:val="24"/>
      <w:szCs w:val="24"/>
      <w:lang w:val="ru-RU" w:eastAsia="ru-RU"/>
    </w:rPr>
  </w:style>
  <w:style w:type="paragraph" w:customStyle="1" w:styleId="Style9">
    <w:name w:val="Style9"/>
    <w:basedOn w:val="a"/>
    <w:uiPriority w:val="99"/>
    <w:qFormat/>
    <w:rsid w:val="00010A67"/>
    <w:pPr>
      <w:widowControl w:val="0"/>
      <w:autoSpaceDE w:val="0"/>
      <w:autoSpaceDN w:val="0"/>
      <w:adjustRightInd w:val="0"/>
      <w:spacing w:line="326" w:lineRule="exact"/>
      <w:ind w:firstLine="398"/>
      <w:jc w:val="left"/>
    </w:pPr>
    <w:rPr>
      <w:rFonts w:ascii="Times New Roman" w:hAnsi="Times New Roman"/>
      <w:sz w:val="24"/>
      <w:szCs w:val="24"/>
      <w:lang w:val="ru-RU" w:eastAsia="ru-RU"/>
    </w:rPr>
  </w:style>
  <w:style w:type="character" w:customStyle="1" w:styleId="FontStyle12">
    <w:name w:val="Font Style12"/>
    <w:basedOn w:val="a0"/>
    <w:uiPriority w:val="99"/>
    <w:qFormat/>
    <w:rsid w:val="00010A67"/>
    <w:rPr>
      <w:rFonts w:ascii="Times New Roman" w:hAnsi="Times New Roman" w:cs="Times New Roman"/>
      <w:sz w:val="24"/>
      <w:szCs w:val="24"/>
    </w:rPr>
  </w:style>
  <w:style w:type="paragraph" w:customStyle="1" w:styleId="cp">
    <w:name w:val="cp"/>
    <w:basedOn w:val="a"/>
    <w:qFormat/>
    <w:rsid w:val="00010A67"/>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object">
    <w:name w:val="object"/>
    <w:basedOn w:val="a0"/>
    <w:qFormat/>
    <w:rsid w:val="0001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5384">
      <w:bodyDiv w:val="1"/>
      <w:marLeft w:val="0"/>
      <w:marRight w:val="0"/>
      <w:marTop w:val="0"/>
      <w:marBottom w:val="0"/>
      <w:divBdr>
        <w:top w:val="none" w:sz="0" w:space="0" w:color="auto"/>
        <w:left w:val="none" w:sz="0" w:space="0" w:color="auto"/>
        <w:bottom w:val="none" w:sz="0" w:space="0" w:color="auto"/>
        <w:right w:val="none" w:sz="0" w:space="0" w:color="auto"/>
      </w:divBdr>
    </w:div>
    <w:div w:id="190421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incesti.md" TargetMode="Externa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F5AC3-ED08-4281-9E4E-9C0A4791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10565</Words>
  <Characters>61279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User</cp:lastModifiedBy>
  <cp:revision>10</cp:revision>
  <cp:lastPrinted>2024-05-31T07:31:00Z</cp:lastPrinted>
  <dcterms:created xsi:type="dcterms:W3CDTF">2024-05-23T12:06:00Z</dcterms:created>
  <dcterms:modified xsi:type="dcterms:W3CDTF">2024-06-03T05:38:00Z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2F380BD44F04411186E9424FA7025737_13</vt:lpwstr>
  </property>
</Properties>
</file>