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aff9"/>
        <w:snapToGrid w:val="0"/>
        <w:ind w:left="0"/>
        <w:rPr>
          <w:b/>
          <w:sz w:val="22"/>
          <w:szCs w:val="22"/>
          <w:lang w:val="ro-MD"/>
        </w:rPr>
      </w:pPr>
      <w:r w:rsidRPr="00883098">
        <w:rPr>
          <w:b/>
          <w:sz w:val="22"/>
          <w:szCs w:val="22"/>
          <w:lang w:val="ro-MD"/>
        </w:rPr>
        <w:t xml:space="preserve">Consiliul Raional Hînceşti </w:t>
      </w:r>
    </w:p>
    <w:p w:rsidR="00007980" w:rsidRPr="00883098" w:rsidRDefault="00007980" w:rsidP="00007980">
      <w:pPr>
        <w:pStyle w:val="aff9"/>
        <w:snapToGrid w:val="0"/>
        <w:ind w:left="0"/>
        <w:rPr>
          <w:sz w:val="22"/>
          <w:szCs w:val="22"/>
          <w:lang w:val="ro-MD"/>
        </w:rPr>
      </w:pPr>
    </w:p>
    <w:p w:rsidR="00007980" w:rsidRPr="00883098" w:rsidRDefault="00007980" w:rsidP="00007980">
      <w:pPr>
        <w:pStyle w:val="aff9"/>
        <w:snapToGrid w:val="0"/>
        <w:ind w:left="0"/>
        <w:rPr>
          <w:sz w:val="22"/>
          <w:szCs w:val="22"/>
          <w:lang w:val="ro-MD"/>
        </w:rPr>
      </w:pPr>
      <w:r w:rsidRPr="00883098">
        <w:rPr>
          <w:sz w:val="22"/>
          <w:szCs w:val="22"/>
          <w:lang w:val="ro-MD"/>
        </w:rPr>
        <w:t xml:space="preserve">Republica Moldova, str. Mihalcea Hîncu nr.138, MD – 3401, municipiul Hînceşti, Raionul </w:t>
      </w:r>
      <w:r>
        <w:rPr>
          <w:sz w:val="22"/>
          <w:szCs w:val="22"/>
          <w:lang w:val="ro-MD"/>
        </w:rPr>
        <w:t>Hînceşti, reprezentată de către Iurie Levinschi, Președintele raionului Hîncești</w:t>
      </w:r>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de cealalta parte,</w:t>
      </w:r>
    </w:p>
    <w:p w:rsidR="00EC05EC" w:rsidRPr="00A568E6" w:rsidRDefault="00EC49E2">
      <w:pPr>
        <w:spacing w:after="120"/>
        <w:rPr>
          <w:sz w:val="22"/>
          <w:szCs w:val="22"/>
          <w:lang w:val="ro-MD"/>
        </w:rPr>
      </w:pPr>
      <w:r w:rsidRPr="00A568E6">
        <w:rPr>
          <w:sz w:val="22"/>
          <w:szCs w:val="22"/>
          <w:lang w:val="ro-MD"/>
        </w:rPr>
        <w:t>au convenit după cum urmează:</w:t>
      </w:r>
    </w:p>
    <w:p w:rsidR="005E4BA4" w:rsidRPr="005E4BA4" w:rsidRDefault="00EC49E2" w:rsidP="005E4BA4">
      <w:pPr>
        <w:pStyle w:val="PRAGHeading2"/>
        <w:numPr>
          <w:ilvl w:val="0"/>
          <w:numId w:val="0"/>
        </w:numPr>
        <w:jc w:val="center"/>
        <w:rPr>
          <w:b/>
          <w:lang w:val="ro-MD"/>
        </w:rPr>
      </w:pPr>
      <w:r w:rsidRPr="005E4BA4">
        <w:rPr>
          <w:b/>
          <w:sz w:val="28"/>
          <w:lang w:val="ro-MD"/>
        </w:rPr>
        <w:t xml:space="preserve">PROIECT </w:t>
      </w:r>
      <w:r w:rsidR="005E4BA4" w:rsidRPr="005E4BA4">
        <w:rPr>
          <w:b/>
          <w:lang w:val="ro-MD"/>
        </w:rPr>
        <w:t>„THE PAST HAS A NEW FUTURE – Cross-border cooperation for the valorization of the cultural heritage in Galati, Romania and Hincesti, Republic of Moldova”</w:t>
      </w:r>
      <w:r w:rsidR="005E4BA4" w:rsidRPr="005E4BA4">
        <w:rPr>
          <w:rStyle w:val="StrongEmphasis"/>
          <w:szCs w:val="24"/>
          <w:lang w:val="ro-MD"/>
        </w:rPr>
        <w:t xml:space="preserve"> /„TRECUTUL ARE UN NOU VIITOR - Cooperare transfrontalieră pentru valorificarea patrimoniului cultural din Galați, România, și Hîncești, Republica Moldova”</w:t>
      </w:r>
      <w:r w:rsidR="005E4BA4" w:rsidRPr="005E4BA4">
        <w:rPr>
          <w:b/>
          <w:lang w:val="ro-MD"/>
        </w:rPr>
        <w:t>, 1HARD/2.1/25.</w:t>
      </w:r>
    </w:p>
    <w:p w:rsidR="00185F66" w:rsidRPr="00185F66" w:rsidRDefault="00EC49E2" w:rsidP="00185F66">
      <w:pPr>
        <w:pStyle w:val="TableParagraph"/>
        <w:spacing w:before="1" w:line="235" w:lineRule="auto"/>
        <w:ind w:left="284"/>
        <w:jc w:val="both"/>
        <w:rPr>
          <w:rFonts w:ascii="Times New Roman" w:hAnsi="Times New Roman" w:cs="Times New Roman"/>
          <w:b/>
          <w:sz w:val="24"/>
          <w:szCs w:val="20"/>
          <w:lang w:val="ro-MD" w:eastAsia="zh-CN"/>
        </w:rPr>
      </w:pPr>
      <w:r w:rsidRPr="00185F66">
        <w:rPr>
          <w:rFonts w:ascii="Times New Roman" w:hAnsi="Times New Roman" w:cs="Times New Roman"/>
          <w:b/>
          <w:sz w:val="28"/>
          <w:lang w:val="ro-MD"/>
        </w:rPr>
        <w:t>TITLUL CONTRACTULUI</w:t>
      </w:r>
      <w:r w:rsidR="00007980" w:rsidRPr="00185F66">
        <w:rPr>
          <w:rFonts w:ascii="Times New Roman" w:hAnsi="Times New Roman" w:cs="Times New Roman"/>
          <w:b/>
          <w:sz w:val="28"/>
          <w:lang w:val="ro-MD"/>
        </w:rPr>
        <w:t>:</w:t>
      </w:r>
      <w:r w:rsidR="00007980" w:rsidRPr="005E4BA4">
        <w:rPr>
          <w:b/>
          <w:sz w:val="28"/>
          <w:lang w:val="ro-MD"/>
        </w:rPr>
        <w:t xml:space="preserve"> </w:t>
      </w:r>
      <w:proofErr w:type="spellStart"/>
      <w:r w:rsidR="00185F66" w:rsidRPr="00185F66">
        <w:rPr>
          <w:rFonts w:ascii="Times New Roman" w:eastAsia="Times New Roman" w:hAnsi="Times New Roman" w:cs="Times New Roman"/>
          <w:b/>
          <w:sz w:val="24"/>
          <w:szCs w:val="20"/>
          <w:lang w:eastAsia="zh-CN"/>
        </w:rPr>
        <w:t>Achiziționarea</w:t>
      </w:r>
      <w:proofErr w:type="spellEnd"/>
      <w:r w:rsidR="00185F66" w:rsidRPr="00185F66">
        <w:rPr>
          <w:rFonts w:ascii="Times New Roman" w:eastAsia="Times New Roman" w:hAnsi="Times New Roman" w:cs="Times New Roman"/>
          <w:b/>
          <w:sz w:val="24"/>
          <w:szCs w:val="20"/>
          <w:lang w:eastAsia="zh-CN"/>
        </w:rPr>
        <w:t xml:space="preserve"> </w:t>
      </w:r>
      <w:proofErr w:type="spellStart"/>
      <w:r w:rsidR="00185F66" w:rsidRPr="00185F66">
        <w:rPr>
          <w:rFonts w:ascii="Times New Roman" w:eastAsia="Times New Roman" w:hAnsi="Times New Roman" w:cs="Times New Roman"/>
          <w:b/>
          <w:sz w:val="24"/>
          <w:szCs w:val="20"/>
          <w:lang w:eastAsia="zh-CN"/>
        </w:rPr>
        <w:t>serviciilor</w:t>
      </w:r>
      <w:proofErr w:type="spellEnd"/>
      <w:r w:rsidR="00185F66" w:rsidRPr="00185F66">
        <w:rPr>
          <w:rFonts w:ascii="Times New Roman" w:eastAsia="Times New Roman" w:hAnsi="Times New Roman" w:cs="Times New Roman"/>
          <w:b/>
          <w:sz w:val="24"/>
          <w:szCs w:val="20"/>
          <w:lang w:eastAsia="zh-CN"/>
        </w:rPr>
        <w:t xml:space="preserve"> de </w:t>
      </w:r>
      <w:r w:rsidR="00185F66" w:rsidRPr="00185F66">
        <w:rPr>
          <w:rFonts w:ascii="Times New Roman" w:hAnsi="Times New Roman" w:cs="Times New Roman"/>
          <w:b/>
          <w:sz w:val="24"/>
          <w:szCs w:val="20"/>
          <w:lang w:val="ro-MD" w:eastAsia="zh-CN"/>
        </w:rPr>
        <w:t>elaborare şi editare</w:t>
      </w:r>
      <w:r w:rsidR="00185F66" w:rsidRPr="00185F66">
        <w:rPr>
          <w:rFonts w:ascii="Times New Roman" w:hAnsi="Times New Roman" w:cs="Times New Roman"/>
          <w:b/>
          <w:sz w:val="24"/>
          <w:szCs w:val="20"/>
        </w:rPr>
        <w:t xml:space="preserve"> a</w:t>
      </w:r>
      <w:r w:rsidR="00185F66" w:rsidRPr="00185F66">
        <w:rPr>
          <w:rFonts w:ascii="Times New Roman" w:hAnsi="Times New Roman" w:cs="Times New Roman"/>
          <w:b/>
          <w:sz w:val="24"/>
          <w:szCs w:val="20"/>
          <w:lang w:val="ro-MD" w:eastAsia="zh-CN"/>
        </w:rPr>
        <w:t xml:space="preserve"> </w:t>
      </w:r>
      <w:r w:rsidR="00FB0CC9">
        <w:rPr>
          <w:rStyle w:val="StrongEmphasis"/>
          <w:rFonts w:ascii="Times New Roman" w:eastAsia="Times New Roman" w:hAnsi="Times New Roman" w:cs="Times New Roman"/>
          <w:lang w:val="ro-MD" w:eastAsia="zh-CN"/>
        </w:rPr>
        <w:t xml:space="preserve">Strategiei locale de </w:t>
      </w:r>
      <w:proofErr w:type="spellStart"/>
      <w:r w:rsidR="00FB0CC9" w:rsidRPr="007B5CAD">
        <w:rPr>
          <w:rStyle w:val="StrongEmphasis"/>
          <w:rFonts w:ascii="Times New Roman" w:eastAsia="Times New Roman" w:hAnsi="Times New Roman" w:cs="Times New Roman"/>
          <w:lang w:eastAsia="zh-CN"/>
        </w:rPr>
        <w:t>valorificare</w:t>
      </w:r>
      <w:proofErr w:type="spellEnd"/>
      <w:r w:rsidR="00FB0CC9" w:rsidRPr="007B5CAD">
        <w:rPr>
          <w:rStyle w:val="StrongEmphasis"/>
          <w:rFonts w:ascii="Times New Roman" w:eastAsia="Times New Roman" w:hAnsi="Times New Roman" w:cs="Times New Roman"/>
          <w:lang w:eastAsia="zh-CN"/>
        </w:rPr>
        <w:t xml:space="preserve"> a </w:t>
      </w:r>
      <w:proofErr w:type="spellStart"/>
      <w:r w:rsidR="00FB0CC9" w:rsidRPr="007B5CAD">
        <w:rPr>
          <w:rStyle w:val="StrongEmphasis"/>
          <w:rFonts w:ascii="Times New Roman" w:eastAsia="Times New Roman" w:hAnsi="Times New Roman" w:cs="Times New Roman"/>
          <w:lang w:eastAsia="zh-CN"/>
        </w:rPr>
        <w:t>patrimoniului</w:t>
      </w:r>
      <w:proofErr w:type="spellEnd"/>
      <w:r w:rsidR="00FB0CC9" w:rsidRPr="007B5CAD">
        <w:rPr>
          <w:rStyle w:val="StrongEmphasis"/>
          <w:rFonts w:ascii="Times New Roman" w:eastAsia="Times New Roman" w:hAnsi="Times New Roman" w:cs="Times New Roman"/>
          <w:lang w:eastAsia="zh-CN"/>
        </w:rPr>
        <w:t xml:space="preserve"> cultural </w:t>
      </w:r>
      <w:proofErr w:type="spellStart"/>
      <w:r w:rsidR="00FB0CC9" w:rsidRPr="007B5CAD">
        <w:rPr>
          <w:rStyle w:val="StrongEmphasis"/>
          <w:rFonts w:ascii="Times New Roman" w:eastAsia="Times New Roman" w:hAnsi="Times New Roman" w:cs="Times New Roman"/>
          <w:lang w:eastAsia="zh-CN"/>
        </w:rPr>
        <w:t>și</w:t>
      </w:r>
      <w:proofErr w:type="spellEnd"/>
      <w:r w:rsidR="00FB0CC9" w:rsidRPr="007B5CAD">
        <w:rPr>
          <w:rStyle w:val="StrongEmphasis"/>
          <w:rFonts w:ascii="Times New Roman" w:eastAsia="Times New Roman" w:hAnsi="Times New Roman" w:cs="Times New Roman"/>
          <w:lang w:eastAsia="zh-CN"/>
        </w:rPr>
        <w:t xml:space="preserve"> </w:t>
      </w:r>
      <w:proofErr w:type="spellStart"/>
      <w:r w:rsidR="00FB0CC9" w:rsidRPr="007B5CAD">
        <w:rPr>
          <w:rStyle w:val="StrongEmphasis"/>
          <w:rFonts w:ascii="Times New Roman" w:eastAsia="Times New Roman" w:hAnsi="Times New Roman" w:cs="Times New Roman"/>
          <w:lang w:eastAsia="zh-CN"/>
        </w:rPr>
        <w:t>istoric</w:t>
      </w:r>
      <w:proofErr w:type="spellEnd"/>
      <w:r w:rsidR="00FB0CC9">
        <w:rPr>
          <w:rStyle w:val="StrongEmphasis"/>
          <w:rFonts w:ascii="Times New Roman" w:eastAsia="Times New Roman" w:hAnsi="Times New Roman" w:cs="Times New Roman"/>
          <w:lang w:eastAsia="zh-CN"/>
        </w:rPr>
        <w:t>,</w:t>
      </w:r>
      <w:r w:rsidR="00FB0CC9" w:rsidRPr="00185F66">
        <w:rPr>
          <w:rFonts w:ascii="Times New Roman" w:hAnsi="Times New Roman" w:cs="Times New Roman"/>
          <w:b/>
          <w:sz w:val="24"/>
          <w:szCs w:val="20"/>
          <w:lang w:val="ro-MD" w:eastAsia="zh-CN"/>
        </w:rPr>
        <w:t xml:space="preserve"> </w:t>
      </w:r>
      <w:r w:rsidR="00185F66" w:rsidRPr="00185F66">
        <w:rPr>
          <w:rFonts w:ascii="Times New Roman" w:hAnsi="Times New Roman" w:cs="Times New Roman"/>
          <w:b/>
          <w:sz w:val="24"/>
          <w:szCs w:val="20"/>
          <w:lang w:val="ro-MD" w:eastAsia="zh-CN"/>
        </w:rPr>
        <w:t>„THE PAST HAS A NEW FUTURE – Cross-border cooperation for the valorization of the cultural heritage in Galati, Romania and Hincesti, Republic of Moldova”</w:t>
      </w:r>
      <w:r w:rsidR="00185F66" w:rsidRPr="00185F66">
        <w:rPr>
          <w:rFonts w:ascii="Times New Roman" w:hAnsi="Times New Roman" w:cs="Times New Roman"/>
          <w:b/>
          <w:sz w:val="24"/>
          <w:szCs w:val="20"/>
          <w:lang w:eastAsia="zh-CN"/>
        </w:rPr>
        <w:t xml:space="preserve"> /„</w:t>
      </w:r>
      <w:r w:rsidR="00185F66" w:rsidRPr="00185F66">
        <w:rPr>
          <w:rFonts w:ascii="Times New Roman" w:hAnsi="Times New Roman" w:cs="Times New Roman"/>
          <w:b/>
          <w:sz w:val="24"/>
          <w:szCs w:val="20"/>
          <w:lang w:val="ro-MD" w:eastAsia="zh-CN"/>
        </w:rPr>
        <w:t>TRECUTUL ARE UN NOU VIITOR - Cooperare transfrontalieră pentru valorificarea patrimoniului cultural din Galați, România, și Hîncești, Republica Moldova”, 1HARD/2.1/25.</w:t>
      </w:r>
    </w:p>
    <w:p w:rsidR="00EC05EC" w:rsidRPr="005E4BA4" w:rsidRDefault="00EC49E2" w:rsidP="00185F66">
      <w:pPr>
        <w:pStyle w:val="PRAGHeading2"/>
        <w:numPr>
          <w:ilvl w:val="0"/>
          <w:numId w:val="0"/>
        </w:numPr>
        <w:jc w:val="center"/>
        <w:rPr>
          <w:b/>
          <w:sz w:val="22"/>
          <w:lang w:val="ro-MD"/>
        </w:rPr>
      </w:pPr>
      <w:r w:rsidRPr="005E4BA4">
        <w:rPr>
          <w:b/>
          <w:sz w:val="22"/>
          <w:lang w:val="ro-MD"/>
        </w:rPr>
        <w:lastRenderedPageBreak/>
        <w:t>Numar de identificare</w:t>
      </w:r>
      <w:r w:rsidR="00007980" w:rsidRPr="005E4BA4">
        <w:rPr>
          <w:b/>
          <w:sz w:val="22"/>
          <w:lang w:val="ro-MD"/>
        </w:rPr>
        <w:t>:</w:t>
      </w:r>
      <w:r w:rsidRPr="005E4BA4">
        <w:rPr>
          <w:b/>
          <w:sz w:val="22"/>
          <w:lang w:val="ro-MD"/>
        </w:rPr>
        <w:t xml:space="preserve"> </w:t>
      </w:r>
      <w:r w:rsidR="005E4BA4" w:rsidRPr="005E4BA4">
        <w:rPr>
          <w:b/>
          <w:sz w:val="22"/>
          <w:lang w:val="ro-MD"/>
        </w:rPr>
        <w:t xml:space="preserve">EF </w:t>
      </w:r>
      <w:r w:rsidR="00007980" w:rsidRPr="005E4BA4">
        <w:rPr>
          <w:b/>
          <w:szCs w:val="22"/>
          <w:lang w:val="ro-MD"/>
        </w:rPr>
        <w:t>5.4.</w:t>
      </w:r>
      <w:r w:rsidR="00F3377F" w:rsidRPr="005E4BA4">
        <w:rPr>
          <w:b/>
          <w:szCs w:val="22"/>
          <w:lang w:val="ro-MD"/>
        </w:rPr>
        <w:t>1</w:t>
      </w:r>
    </w:p>
    <w:p w:rsidR="00EC05EC" w:rsidRPr="00A568E6" w:rsidRDefault="00EC49E2">
      <w:pPr>
        <w:pStyle w:val="StyleListNumber11ptBold"/>
        <w:rPr>
          <w:lang w:val="ro-MD"/>
        </w:rPr>
      </w:pPr>
      <w:r w:rsidRPr="00A568E6">
        <w:rPr>
          <w:lang w:val="ro-MD"/>
        </w:rPr>
        <w:t>(1) Subiect</w:t>
      </w:r>
      <w:r w:rsidRPr="00A568E6">
        <w:rPr>
          <w:lang w:val="ro-MD"/>
        </w:rPr>
        <w:tab/>
      </w:r>
    </w:p>
    <w:p w:rsidR="00982F58" w:rsidRPr="00185F66" w:rsidRDefault="00EC49E2" w:rsidP="00185F66">
      <w:pPr>
        <w:pStyle w:val="TableParagraph"/>
        <w:spacing w:before="1" w:line="235" w:lineRule="auto"/>
        <w:ind w:left="284"/>
        <w:jc w:val="both"/>
        <w:rPr>
          <w:rFonts w:ascii="Times New Roman" w:hAnsi="Times New Roman" w:cs="Times New Roman"/>
          <w:b/>
          <w:sz w:val="24"/>
          <w:szCs w:val="24"/>
          <w:lang w:val="ro-MD"/>
        </w:rPr>
      </w:pPr>
      <w:r w:rsidRPr="00185F66">
        <w:rPr>
          <w:rFonts w:ascii="Times New Roman" w:hAnsi="Times New Roman" w:cs="Times New Roman"/>
          <w:sz w:val="24"/>
          <w:szCs w:val="24"/>
          <w:lang w:val="ro-MD"/>
        </w:rPr>
        <w:t xml:space="preserve">1.1 Obiectul acestui Contract </w:t>
      </w:r>
      <w:r w:rsidR="00185F66" w:rsidRPr="00185F66">
        <w:rPr>
          <w:rStyle w:val="StrongEmphasis"/>
          <w:rFonts w:ascii="Times New Roman" w:hAnsi="Times New Roman" w:cs="Times New Roman"/>
          <w:sz w:val="24"/>
          <w:szCs w:val="24"/>
          <w:lang w:val="ro-MD"/>
        </w:rPr>
        <w:t xml:space="preserve">Achiziționarea serviciilor de </w:t>
      </w:r>
      <w:r w:rsidR="00185F66" w:rsidRPr="00185F66">
        <w:rPr>
          <w:rStyle w:val="StrongEmphasis"/>
          <w:rFonts w:ascii="Times New Roman" w:eastAsia="Times New Roman" w:hAnsi="Times New Roman" w:cs="Times New Roman"/>
          <w:sz w:val="24"/>
          <w:szCs w:val="24"/>
          <w:lang w:val="ro-MD" w:eastAsia="zh-CN"/>
        </w:rPr>
        <w:t xml:space="preserve">elaborare şi editare a </w:t>
      </w:r>
      <w:r w:rsidR="00FB0CC9">
        <w:rPr>
          <w:rStyle w:val="StrongEmphasis"/>
          <w:rFonts w:ascii="Times New Roman" w:eastAsia="Times New Roman" w:hAnsi="Times New Roman" w:cs="Times New Roman"/>
          <w:lang w:val="ro-MD" w:eastAsia="zh-CN"/>
        </w:rPr>
        <w:t xml:space="preserve">Strategiei locale de </w:t>
      </w:r>
      <w:proofErr w:type="spellStart"/>
      <w:r w:rsidR="00FB0CC9" w:rsidRPr="007B5CAD">
        <w:rPr>
          <w:rStyle w:val="StrongEmphasis"/>
          <w:rFonts w:ascii="Times New Roman" w:eastAsia="Times New Roman" w:hAnsi="Times New Roman" w:cs="Times New Roman"/>
          <w:lang w:eastAsia="zh-CN"/>
        </w:rPr>
        <w:t>valorificare</w:t>
      </w:r>
      <w:proofErr w:type="spellEnd"/>
      <w:r w:rsidR="00FB0CC9" w:rsidRPr="007B5CAD">
        <w:rPr>
          <w:rStyle w:val="StrongEmphasis"/>
          <w:rFonts w:ascii="Times New Roman" w:eastAsia="Times New Roman" w:hAnsi="Times New Roman" w:cs="Times New Roman"/>
          <w:lang w:eastAsia="zh-CN"/>
        </w:rPr>
        <w:t xml:space="preserve"> a </w:t>
      </w:r>
      <w:proofErr w:type="spellStart"/>
      <w:r w:rsidR="00FB0CC9" w:rsidRPr="007B5CAD">
        <w:rPr>
          <w:rStyle w:val="StrongEmphasis"/>
          <w:rFonts w:ascii="Times New Roman" w:eastAsia="Times New Roman" w:hAnsi="Times New Roman" w:cs="Times New Roman"/>
          <w:lang w:eastAsia="zh-CN"/>
        </w:rPr>
        <w:t>patrimoniului</w:t>
      </w:r>
      <w:proofErr w:type="spellEnd"/>
      <w:r w:rsidR="00FB0CC9" w:rsidRPr="007B5CAD">
        <w:rPr>
          <w:rStyle w:val="StrongEmphasis"/>
          <w:rFonts w:ascii="Times New Roman" w:eastAsia="Times New Roman" w:hAnsi="Times New Roman" w:cs="Times New Roman"/>
          <w:lang w:eastAsia="zh-CN"/>
        </w:rPr>
        <w:t xml:space="preserve"> cultural </w:t>
      </w:r>
      <w:proofErr w:type="spellStart"/>
      <w:r w:rsidR="00FB0CC9" w:rsidRPr="007B5CAD">
        <w:rPr>
          <w:rStyle w:val="StrongEmphasis"/>
          <w:rFonts w:ascii="Times New Roman" w:eastAsia="Times New Roman" w:hAnsi="Times New Roman" w:cs="Times New Roman"/>
          <w:lang w:eastAsia="zh-CN"/>
        </w:rPr>
        <w:t>și</w:t>
      </w:r>
      <w:proofErr w:type="spellEnd"/>
      <w:r w:rsidR="00FB0CC9" w:rsidRPr="007B5CAD">
        <w:rPr>
          <w:rStyle w:val="StrongEmphasis"/>
          <w:rFonts w:ascii="Times New Roman" w:eastAsia="Times New Roman" w:hAnsi="Times New Roman" w:cs="Times New Roman"/>
          <w:lang w:eastAsia="zh-CN"/>
        </w:rPr>
        <w:t xml:space="preserve"> </w:t>
      </w:r>
      <w:proofErr w:type="spellStart"/>
      <w:r w:rsidR="00FB0CC9" w:rsidRPr="007B5CAD">
        <w:rPr>
          <w:rStyle w:val="StrongEmphasis"/>
          <w:rFonts w:ascii="Times New Roman" w:eastAsia="Times New Roman" w:hAnsi="Times New Roman" w:cs="Times New Roman"/>
          <w:lang w:eastAsia="zh-CN"/>
        </w:rPr>
        <w:t>istoric</w:t>
      </w:r>
      <w:proofErr w:type="spellEnd"/>
      <w:r w:rsidR="00FB0CC9">
        <w:rPr>
          <w:rStyle w:val="StrongEmphasis"/>
          <w:rFonts w:ascii="Times New Roman" w:eastAsia="Times New Roman" w:hAnsi="Times New Roman" w:cs="Times New Roman"/>
          <w:lang w:eastAsia="zh-CN"/>
        </w:rPr>
        <w:t>,</w:t>
      </w:r>
      <w:r w:rsidR="00FB0CC9">
        <w:rPr>
          <w:rStyle w:val="StrongEmphasis"/>
          <w:rFonts w:ascii="Times New Roman" w:eastAsia="Times New Roman" w:hAnsi="Times New Roman" w:cs="Times New Roman"/>
          <w:lang w:eastAsia="zh-CN"/>
        </w:rPr>
        <w:t xml:space="preserve"> </w:t>
      </w:r>
      <w:r w:rsidR="006B35EA" w:rsidRPr="00185F66">
        <w:rPr>
          <w:rStyle w:val="StrongEmphasis"/>
          <w:rFonts w:ascii="Times New Roman" w:hAnsi="Times New Roman" w:cs="Times New Roman"/>
          <w:sz w:val="24"/>
          <w:szCs w:val="24"/>
          <w:lang w:val="ro-MD"/>
        </w:rPr>
        <w:t xml:space="preserve">în cadrul proiectului </w:t>
      </w:r>
      <w:r w:rsidRPr="00185F66">
        <w:rPr>
          <w:rFonts w:ascii="Times New Roman" w:hAnsi="Times New Roman" w:cs="Times New Roman"/>
          <w:sz w:val="24"/>
          <w:szCs w:val="24"/>
          <w:lang w:val="ro-MD"/>
        </w:rPr>
        <w:t>în</w:t>
      </w:r>
      <w:r w:rsidR="006B35EA" w:rsidRPr="00185F66">
        <w:rPr>
          <w:rFonts w:ascii="Times New Roman" w:hAnsi="Times New Roman" w:cs="Times New Roman"/>
          <w:sz w:val="24"/>
          <w:szCs w:val="24"/>
          <w:lang w:val="ro-MD"/>
        </w:rPr>
        <w:t xml:space="preserve"> perioada </w:t>
      </w:r>
      <w:r w:rsidR="00FB0CC9">
        <w:rPr>
          <w:rFonts w:ascii="Times New Roman" w:hAnsi="Times New Roman" w:cs="Times New Roman"/>
          <w:sz w:val="24"/>
          <w:szCs w:val="24"/>
          <w:lang w:val="ro-MD"/>
        </w:rPr>
        <w:t>03 august – 30 octombrie</w:t>
      </w:r>
      <w:r w:rsidR="00982F58" w:rsidRPr="00185F66">
        <w:rPr>
          <w:rFonts w:ascii="Times New Roman" w:hAnsi="Times New Roman" w:cs="Times New Roman"/>
          <w:sz w:val="24"/>
          <w:szCs w:val="24"/>
          <w:lang w:val="ro-MD"/>
        </w:rPr>
        <w:t xml:space="preserve"> 202</w:t>
      </w:r>
      <w:r w:rsidR="00FB0CC9">
        <w:rPr>
          <w:rFonts w:ascii="Times New Roman" w:hAnsi="Times New Roman" w:cs="Times New Roman"/>
          <w:sz w:val="24"/>
          <w:szCs w:val="24"/>
          <w:lang w:val="ro-MD"/>
        </w:rPr>
        <w:t>3</w:t>
      </w:r>
      <w:r w:rsidR="00982F58" w:rsidRPr="00185F66">
        <w:rPr>
          <w:rFonts w:ascii="Times New Roman" w:hAnsi="Times New Roman" w:cs="Times New Roman"/>
          <w:sz w:val="24"/>
          <w:szCs w:val="24"/>
          <w:lang w:val="ro-MD"/>
        </w:rPr>
        <w:t xml:space="preserve"> în raionul Hîncești, mun. Hîncești,</w:t>
      </w:r>
      <w:r w:rsidRPr="00185F66">
        <w:rPr>
          <w:rFonts w:ascii="Times New Roman" w:hAnsi="Times New Roman" w:cs="Times New Roman"/>
          <w:sz w:val="24"/>
          <w:szCs w:val="24"/>
          <w:lang w:val="ro-MD"/>
        </w:rPr>
        <w:t xml:space="preserve"> cu numărul de identificare</w:t>
      </w:r>
      <w:r w:rsidR="00982F58" w:rsidRPr="00185F66">
        <w:rPr>
          <w:rFonts w:ascii="Times New Roman" w:hAnsi="Times New Roman" w:cs="Times New Roman"/>
          <w:sz w:val="24"/>
          <w:szCs w:val="24"/>
          <w:lang w:val="ro-MD"/>
        </w:rPr>
        <w:t>:</w:t>
      </w:r>
      <w:r w:rsidR="00982F58" w:rsidRPr="00185F66">
        <w:rPr>
          <w:rFonts w:ascii="Times New Roman" w:hAnsi="Times New Roman" w:cs="Times New Roman"/>
          <w:b/>
          <w:sz w:val="24"/>
          <w:szCs w:val="24"/>
          <w:lang w:val="ro-MD"/>
        </w:rPr>
        <w:t xml:space="preserve"> </w:t>
      </w:r>
      <w:r w:rsidR="00FB0CC9">
        <w:rPr>
          <w:rFonts w:ascii="Times New Roman" w:hAnsi="Times New Roman" w:cs="Times New Roman"/>
          <w:b/>
          <w:sz w:val="24"/>
          <w:szCs w:val="24"/>
          <w:lang w:val="ro-MD"/>
        </w:rPr>
        <w:t>EE</w:t>
      </w:r>
      <w:r w:rsidR="005E4BA4" w:rsidRPr="00185F66">
        <w:rPr>
          <w:rFonts w:ascii="Times New Roman" w:hAnsi="Times New Roman" w:cs="Times New Roman"/>
          <w:b/>
          <w:sz w:val="24"/>
          <w:szCs w:val="24"/>
          <w:lang w:val="ro-MD"/>
        </w:rPr>
        <w:t xml:space="preserve"> </w:t>
      </w:r>
      <w:r w:rsidR="00982F58" w:rsidRPr="00185F66">
        <w:rPr>
          <w:rFonts w:ascii="Times New Roman" w:hAnsi="Times New Roman" w:cs="Times New Roman"/>
          <w:b/>
          <w:sz w:val="24"/>
          <w:szCs w:val="24"/>
          <w:lang w:val="ro-MD"/>
        </w:rPr>
        <w:t>5.</w:t>
      </w:r>
      <w:r w:rsidR="00FB0CC9">
        <w:rPr>
          <w:rFonts w:ascii="Times New Roman" w:hAnsi="Times New Roman" w:cs="Times New Roman"/>
          <w:b/>
          <w:sz w:val="24"/>
          <w:szCs w:val="24"/>
          <w:lang w:val="ro-MD"/>
        </w:rPr>
        <w:t>5</w:t>
      </w:r>
      <w:r w:rsidR="00982F58" w:rsidRPr="00185F66">
        <w:rPr>
          <w:rFonts w:ascii="Times New Roman" w:hAnsi="Times New Roman" w:cs="Times New Roman"/>
          <w:b/>
          <w:sz w:val="24"/>
          <w:szCs w:val="24"/>
          <w:lang w:val="ro-MD"/>
        </w:rPr>
        <w:t>, după cum urmează:</w:t>
      </w:r>
    </w:p>
    <w:tbl>
      <w:tblPr>
        <w:tblStyle w:val="affa"/>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1</w:t>
            </w:r>
          </w:p>
        </w:tc>
        <w:tc>
          <w:tcPr>
            <w:tcW w:w="3684" w:type="dxa"/>
          </w:tcPr>
          <w:p w:rsidR="00F3377F" w:rsidRPr="003F3F5A" w:rsidRDefault="00185F66" w:rsidP="00FB0CC9">
            <w:pPr>
              <w:pStyle w:val="Default"/>
              <w:rPr>
                <w:rFonts w:ascii="Times New Roman" w:hAnsi="Times New Roman" w:cs="Times New Roman"/>
                <w:lang w:val="ro-RO"/>
              </w:rPr>
            </w:pPr>
            <w:r>
              <w:rPr>
                <w:rFonts w:ascii="Times New Roman" w:hAnsi="Times New Roman" w:cs="Times New Roman"/>
                <w:lang w:val="ro-RO"/>
              </w:rPr>
              <w:t xml:space="preserve">Elaborarea </w:t>
            </w:r>
            <w:r w:rsidR="00FB0CC9">
              <w:rPr>
                <w:rFonts w:ascii="Times New Roman" w:hAnsi="Times New Roman" w:cs="Times New Roman"/>
                <w:lang w:val="ro-RO"/>
              </w:rPr>
              <w:t>conținut strategie</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2</w:t>
            </w:r>
          </w:p>
        </w:tc>
        <w:tc>
          <w:tcPr>
            <w:tcW w:w="3684" w:type="dxa"/>
          </w:tcPr>
          <w:p w:rsidR="007A2D89" w:rsidRPr="007A2D89" w:rsidRDefault="00185F66" w:rsidP="00FB0CC9">
            <w:pPr>
              <w:spacing w:after="0"/>
              <w:rPr>
                <w:color w:val="000000"/>
                <w:szCs w:val="24"/>
                <w:lang w:val="ro-MD"/>
              </w:rPr>
            </w:pPr>
            <w:r>
              <w:rPr>
                <w:color w:val="000000"/>
                <w:szCs w:val="24"/>
                <w:lang w:val="ro-RO"/>
              </w:rPr>
              <w:t xml:space="preserve">Tipar </w:t>
            </w:r>
            <w:r w:rsidR="00FB0CC9">
              <w:rPr>
                <w:color w:val="000000"/>
                <w:szCs w:val="24"/>
                <w:lang w:val="ro-RO"/>
              </w:rPr>
              <w:t>strategie</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bl>
    <w:p w:rsidR="00982F58" w:rsidRDefault="005A5813" w:rsidP="00982F58">
      <w:pPr>
        <w:spacing w:before="240"/>
        <w:outlineLvl w:val="0"/>
      </w:pPr>
      <w:r w:rsidRPr="00883098">
        <w:rPr>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49E2">
      <w:pPr>
        <w:spacing w:after="120"/>
        <w:ind w:left="567"/>
        <w:rPr>
          <w:sz w:val="22"/>
          <w:szCs w:val="22"/>
          <w:lang w:val="ro-MD"/>
        </w:rPr>
      </w:pPr>
      <w:r w:rsidRPr="00A649A9">
        <w:rPr>
          <w:sz w:val="22"/>
          <w:szCs w:val="22"/>
          <w:lang w:val="ro-MD"/>
        </w:rPr>
        <w:t xml:space="preserve">Valoarea contractului este </w:t>
      </w:r>
      <w:r w:rsidRPr="00FB0CC9">
        <w:rPr>
          <w:sz w:val="22"/>
          <w:szCs w:val="22"/>
          <w:highlight w:val="yellow"/>
          <w:lang w:val="ro-MD"/>
        </w:rPr>
        <w:t xml:space="preserve">de </w:t>
      </w:r>
      <w:r w:rsidR="00A649A9" w:rsidRPr="00FB0CC9">
        <w:rPr>
          <w:sz w:val="22"/>
          <w:szCs w:val="22"/>
          <w:highlight w:val="yellow"/>
          <w:lang w:val="ro-MD"/>
        </w:rPr>
        <w:t>MDL / moneda</w:t>
      </w:r>
      <w:r w:rsidRPr="00FB0CC9">
        <w:rPr>
          <w:sz w:val="22"/>
          <w:szCs w:val="22"/>
          <w:highlight w:val="yellow"/>
          <w:lang w:val="ro-MD"/>
        </w:rPr>
        <w:t xml:space="preserve"> național</w:t>
      </w:r>
      <w:r w:rsidR="00A649A9" w:rsidRPr="00FB0CC9">
        <w:rPr>
          <w:sz w:val="22"/>
          <w:szCs w:val="22"/>
          <w:highlight w:val="yellow"/>
          <w:lang w:val="ro-MD"/>
        </w:rPr>
        <w:t>ă.</w:t>
      </w:r>
      <w:bookmarkStart w:id="0" w:name="_GoBack"/>
      <w:bookmarkEnd w:id="0"/>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lastRenderedPageBreak/>
        <w:t xml:space="preserve">Realizat în </w:t>
      </w:r>
      <w:r>
        <w:rPr>
          <w:sz w:val="22"/>
          <w:szCs w:val="22"/>
          <w:lang w:val="ro-MD"/>
        </w:rPr>
        <w:t>română</w:t>
      </w:r>
      <w:r w:rsidRPr="00E963E9">
        <w:rPr>
          <w:sz w:val="22"/>
          <w:szCs w:val="22"/>
          <w:lang w:val="ro-MD"/>
        </w:rPr>
        <w:t xml:space="preserve"> în </w:t>
      </w:r>
      <w:r w:rsidR="00D6178A">
        <w:rPr>
          <w:sz w:val="22"/>
          <w:szCs w:val="22"/>
          <w:lang w:val="ro-MD"/>
        </w:rPr>
        <w:t>două</w:t>
      </w:r>
      <w:r w:rsidRPr="00E963E9">
        <w:rPr>
          <w:sz w:val="22"/>
          <w:szCs w:val="22"/>
          <w:lang w:val="ro-MD"/>
        </w:rPr>
        <w:t xml:space="preserve"> originale, un original pentru Autoritatea </w:t>
      </w:r>
      <w:r w:rsidR="00D6178A">
        <w:rPr>
          <w:sz w:val="22"/>
          <w:szCs w:val="22"/>
          <w:lang w:val="ro-MD"/>
        </w:rPr>
        <w:t>Contractantă</w:t>
      </w:r>
      <w:r w:rsidRPr="00E963E9">
        <w:rPr>
          <w:sz w:val="22"/>
          <w:szCs w:val="22"/>
          <w:lang w:val="ro-MD"/>
        </w:rPr>
        <w:t>, și un original pentru Antreprenor.</w:t>
      </w:r>
    </w:p>
    <w:p w:rsidR="00A649A9" w:rsidRPr="00A568E6" w:rsidRDefault="00A649A9">
      <w:pPr>
        <w:pStyle w:val="a"/>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aa"/>
              <w:keepNext/>
              <w:keepLines/>
              <w:rPr>
                <w:b/>
                <w:sz w:val="22"/>
                <w:szCs w:val="22"/>
                <w:lang w:val="ro-MD"/>
              </w:rPr>
            </w:pPr>
            <w:r w:rsidRPr="00A568E6">
              <w:rPr>
                <w:b/>
                <w:sz w:val="22"/>
                <w:szCs w:val="22"/>
                <w:lang w:val="ro-MD"/>
              </w:rPr>
              <w:t>Pentru Antreprenor</w:t>
            </w:r>
          </w:p>
        </w:tc>
        <w:tc>
          <w:tcPr>
            <w:tcW w:w="4643" w:type="dxa"/>
            <w:gridSpan w:val="3"/>
          </w:tcPr>
          <w:p w:rsidR="00EC05EC" w:rsidRPr="00A568E6" w:rsidRDefault="00EC49E2">
            <w:pPr>
              <w:pStyle w:val="aa"/>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aa"/>
              <w:keepLines/>
              <w:spacing w:before="160" w:after="160"/>
              <w:rPr>
                <w:sz w:val="22"/>
                <w:szCs w:val="22"/>
                <w:highlight w:val="lightGray"/>
                <w:lang w:val="ro-MD"/>
              </w:rPr>
            </w:pPr>
          </w:p>
        </w:tc>
        <w:tc>
          <w:tcPr>
            <w:tcW w:w="7760" w:type="dxa"/>
            <w:gridSpan w:val="4"/>
          </w:tcPr>
          <w:p w:rsidR="00EC05EC" w:rsidRPr="00A568E6" w:rsidRDefault="00EC05EC">
            <w:pPr>
              <w:pStyle w:val="aa"/>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r>
              <w:rPr>
                <w:sz w:val="22"/>
                <w:szCs w:val="22"/>
                <w:lang w:val="ro-MD" w:bidi="hi-IN"/>
              </w:rPr>
              <w:t>Consiliul Raional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21"/>
              <w:numPr>
                <w:ilvl w:val="0"/>
                <w:numId w:val="0"/>
              </w:numPr>
              <w:tabs>
                <w:tab w:val="left" w:pos="1200"/>
              </w:tabs>
              <w:autoSpaceDN w:val="0"/>
              <w:textAlignment w:val="baseline"/>
            </w:pPr>
            <w:r>
              <w:rPr>
                <w:lang w:val="ro-MD" w:bidi="hi-IN"/>
              </w:rPr>
              <w:t>strada Mihalcea Hîncu 138, MD-3401, Republica Moldova</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D6178A" w:rsidP="00D6178A">
            <w:pPr>
              <w:rPr>
                <w:szCs w:val="22"/>
                <w:lang w:val="ro-MD" w:bidi="hi-IN"/>
              </w:rPr>
            </w:pPr>
            <w:r>
              <w:rPr>
                <w:sz w:val="22"/>
                <w:szCs w:val="22"/>
                <w:lang w:val="ro-MD" w:bidi="hi-IN"/>
              </w:rPr>
              <w:t>Iurie LEVINSCHI,  Președintele raionului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rPr>
                <w:szCs w:val="22"/>
                <w:lang w:val="ro-MD" w:bidi="hi-IN"/>
              </w:rPr>
            </w:pPr>
            <w:r>
              <w:rPr>
                <w:sz w:val="22"/>
                <w:szCs w:val="22"/>
                <w:lang w:val="ro-MD" w:bidi="hi-IN"/>
              </w:rPr>
              <w:t>+373 269 2</w:t>
            </w:r>
            <w:r w:rsidR="00D6178A">
              <w:rPr>
                <w:sz w:val="22"/>
                <w:szCs w:val="22"/>
                <w:lang w:val="ro-MD" w:bidi="hi-IN"/>
              </w:rPr>
              <w:t>2058</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744EEF" w:rsidP="009A07C1">
            <w:hyperlink r:id="rId8" w:history="1">
              <w:r w:rsidR="007B614A" w:rsidRPr="00AC6653">
                <w:rPr>
                  <w:rStyle w:val="a6"/>
                  <w:sz w:val="22"/>
                  <w:szCs w:val="22"/>
                  <w:lang w:val="ro-MD" w:bidi="hi-IN"/>
                </w:rPr>
                <w:t>proiectmmhincesti@gmail.com</w:t>
              </w:r>
            </w:hyperlink>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pStyle w:val="21"/>
              <w:numPr>
                <w:ilvl w:val="0"/>
                <w:numId w:val="0"/>
              </w:numPr>
              <w:tabs>
                <w:tab w:val="left" w:pos="1200"/>
              </w:tabs>
              <w:autoSpaceDN w:val="0"/>
              <w:ind w:left="1200"/>
              <w:textAlignment w:val="baseline"/>
              <w:rPr>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bl>
    <w:p w:rsidR="008D0B21" w:rsidRDefault="008D0B21" w:rsidP="008D0B21">
      <w:pPr>
        <w:pStyle w:val="a"/>
        <w:numPr>
          <w:ilvl w:val="0"/>
          <w:numId w:val="0"/>
        </w:numPr>
        <w:spacing w:after="0"/>
        <w:ind w:left="567" w:hanging="567"/>
        <w:rPr>
          <w:sz w:val="22"/>
          <w:szCs w:val="22"/>
          <w:lang w:val="ro-MD"/>
        </w:rPr>
      </w:pPr>
      <w:r>
        <w:rPr>
          <w:sz w:val="22"/>
          <w:szCs w:val="22"/>
          <w:lang w:val="ro-MD"/>
        </w:rPr>
        <w:tab/>
      </w:r>
    </w:p>
    <w:p w:rsidR="008D0B21" w:rsidRDefault="008D0B21" w:rsidP="008D0B21">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9" w:history="1">
        <w:r>
          <w:rPr>
            <w:rStyle w:val="a6"/>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Hîncești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10"/>
      <w:footerReference w:type="first" r:id="rId11"/>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EF" w:rsidRDefault="00744EEF">
      <w:pPr>
        <w:spacing w:after="0"/>
      </w:pPr>
      <w:r>
        <w:separator/>
      </w:r>
    </w:p>
  </w:endnote>
  <w:endnote w:type="continuationSeparator" w:id="0">
    <w:p w:rsidR="00744EEF" w:rsidRDefault="00744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b/>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FB0CC9">
      <w:rPr>
        <w:rStyle w:val="a5"/>
        <w:rFonts w:ascii="Times New Roman" w:hAnsi="Times New Roman" w:cs="Times New Roman"/>
        <w:noProof/>
        <w:sz w:val="18"/>
        <w:szCs w:val="18"/>
      </w:rPr>
      <w:t>4</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FB0CC9">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rPr>
        <w:rStyle w:val="a5"/>
        <w:rFonts w:ascii="Times New Roman" w:hAnsi="Times New Roman" w:cs="Times New Roman"/>
        <w:sz w:val="18"/>
        <w:szCs w:val="18"/>
      </w:rPr>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FB0CC9">
      <w:rPr>
        <w:rStyle w:val="a5"/>
        <w:rFonts w:ascii="Times New Roman" w:hAnsi="Times New Roman" w:cs="Times New Roman"/>
        <w:noProof/>
        <w:sz w:val="18"/>
        <w:szCs w:val="18"/>
      </w:rPr>
      <w:t>1</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FB0CC9">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EF" w:rsidRDefault="00744EEF">
      <w:pPr>
        <w:rPr>
          <w:sz w:val="12"/>
        </w:rPr>
      </w:pPr>
      <w:r>
        <w:separator/>
      </w:r>
    </w:p>
  </w:footnote>
  <w:footnote w:type="continuationSeparator" w:id="0">
    <w:p w:rsidR="00744EEF" w:rsidRDefault="00744EEF">
      <w:pPr>
        <w:rPr>
          <w:sz w:val="12"/>
        </w:rPr>
      </w:pPr>
      <w:r>
        <w:continuationSeparator/>
      </w:r>
    </w:p>
  </w:footnote>
  <w:footnote w:id="1">
    <w:p w:rsidR="00EC05EC" w:rsidRDefault="00EC49E2">
      <w:pPr>
        <w:pStyle w:val="af7"/>
        <w:spacing w:after="0"/>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EC05EC" w:rsidRDefault="00EC49E2">
      <w:pPr>
        <w:pStyle w:val="af7"/>
        <w:spacing w:after="0"/>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rsidR="00EC05EC" w:rsidRDefault="00EC49E2">
      <w:pPr>
        <w:pStyle w:val="af7"/>
        <w:spacing w:after="0"/>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B383B"/>
    <w:multiLevelType w:val="multilevel"/>
    <w:tmpl w:val="BF00F99A"/>
    <w:lvl w:ilvl="0">
      <w:start w:val="1"/>
      <w:numFmt w:val="bullet"/>
      <w:pStyle w:val="a0"/>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24859"/>
    <w:multiLevelType w:val="multilevel"/>
    <w:tmpl w:val="8A14934C"/>
    <w:lvl w:ilvl="0">
      <w:start w:val="1"/>
      <w:numFmt w:val="decimal"/>
      <w:pStyle w:val="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25D35"/>
    <w:multiLevelType w:val="multilevel"/>
    <w:tmpl w:val="1ECCDBD2"/>
    <w:lvl w:ilvl="0">
      <w:start w:val="1"/>
      <w:numFmt w:val="bullet"/>
      <w:pStyle w:val="3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E0A1C"/>
    <w:multiLevelType w:val="multilevel"/>
    <w:tmpl w:val="F86292FA"/>
    <w:lvl w:ilvl="0">
      <w:start w:val="1"/>
      <w:numFmt w:val="decimal"/>
      <w:pStyle w:val="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7F243E"/>
    <w:multiLevelType w:val="multilevel"/>
    <w:tmpl w:val="529ECC28"/>
    <w:lvl w:ilvl="0">
      <w:start w:val="1"/>
      <w:numFmt w:val="bullet"/>
      <w:pStyle w:val="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17137"/>
    <w:multiLevelType w:val="multilevel"/>
    <w:tmpl w:val="540A72BC"/>
    <w:lvl w:ilvl="0">
      <w:start w:val="1"/>
      <w:numFmt w:val="bullet"/>
      <w:pStyle w:val="2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474852"/>
    <w:multiLevelType w:val="multilevel"/>
    <w:tmpl w:val="85BAA204"/>
    <w:lvl w:ilvl="0">
      <w:start w:val="1"/>
      <w:numFmt w:val="decimal"/>
      <w:pStyle w:val="40"/>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52488"/>
    <w:multiLevelType w:val="multilevel"/>
    <w:tmpl w:val="7DF0C3E0"/>
    <w:lvl w:ilvl="0">
      <w:start w:val="1"/>
      <w:numFmt w:val="decimal"/>
      <w:pStyle w:val="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834D52"/>
    <w:multiLevelType w:val="multilevel"/>
    <w:tmpl w:val="14A42402"/>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200"/>
        </w:tabs>
        <w:ind w:left="1200" w:hanging="720"/>
      </w:pPr>
    </w:lvl>
    <w:lvl w:ilvl="2">
      <w:start w:val="1"/>
      <w:numFmt w:val="decimal"/>
      <w:pStyle w:val="31"/>
      <w:lvlText w:val="%1.%2.%3."/>
      <w:lvlJc w:val="left"/>
      <w:pPr>
        <w:tabs>
          <w:tab w:val="num" w:pos="1920"/>
        </w:tabs>
        <w:ind w:left="1920" w:hanging="720"/>
      </w:pPr>
    </w:lvl>
    <w:lvl w:ilvl="3">
      <w:start w:val="1"/>
      <w:numFmt w:val="decimal"/>
      <w:pStyle w:val="41"/>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BC61E50"/>
    <w:multiLevelType w:val="multilevel"/>
    <w:tmpl w:val="20B87D4C"/>
    <w:lvl w:ilvl="0">
      <w:start w:val="1"/>
      <w:numFmt w:val="bullet"/>
      <w:pStyle w:val="50"/>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26"/>
  </w:num>
  <w:num w:numId="4">
    <w:abstractNumId w:val="5"/>
  </w:num>
  <w:num w:numId="5">
    <w:abstractNumId w:val="15"/>
  </w:num>
  <w:num w:numId="6">
    <w:abstractNumId w:val="3"/>
  </w:num>
  <w:num w:numId="7">
    <w:abstractNumId w:val="7"/>
  </w:num>
  <w:num w:numId="8">
    <w:abstractNumId w:val="8"/>
  </w:num>
  <w:num w:numId="9">
    <w:abstractNumId w:val="14"/>
  </w:num>
  <w:num w:numId="10">
    <w:abstractNumId w:val="23"/>
  </w:num>
  <w:num w:numId="11">
    <w:abstractNumId w:val="17"/>
  </w:num>
  <w:num w:numId="12">
    <w:abstractNumId w:val="6"/>
  </w:num>
  <w:num w:numId="13">
    <w:abstractNumId w:val="9"/>
  </w:num>
  <w:num w:numId="14">
    <w:abstractNumId w:val="19"/>
  </w:num>
  <w:num w:numId="15">
    <w:abstractNumId w:val="11"/>
  </w:num>
  <w:num w:numId="16">
    <w:abstractNumId w:val="1"/>
  </w:num>
  <w:num w:numId="17">
    <w:abstractNumId w:val="2"/>
  </w:num>
  <w:num w:numId="18">
    <w:abstractNumId w:val="10"/>
  </w:num>
  <w:num w:numId="19">
    <w:abstractNumId w:val="16"/>
  </w:num>
  <w:num w:numId="20">
    <w:abstractNumId w:val="18"/>
  </w:num>
  <w:num w:numId="21">
    <w:abstractNumId w:val="24"/>
  </w:num>
  <w:num w:numId="22">
    <w:abstractNumId w:val="12"/>
  </w:num>
  <w:num w:numId="23">
    <w:abstractNumId w:val="20"/>
  </w:num>
  <w:num w:numId="24">
    <w:abstractNumId w:val="22"/>
  </w:num>
  <w:num w:numId="25">
    <w:abstractNumId w:val="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022FA8"/>
    <w:rsid w:val="0018460F"/>
    <w:rsid w:val="00185F66"/>
    <w:rsid w:val="001C103F"/>
    <w:rsid w:val="002B4396"/>
    <w:rsid w:val="003F5F66"/>
    <w:rsid w:val="004832E4"/>
    <w:rsid w:val="004D1391"/>
    <w:rsid w:val="005A5813"/>
    <w:rsid w:val="005A69D0"/>
    <w:rsid w:val="005E4BA4"/>
    <w:rsid w:val="006B35EA"/>
    <w:rsid w:val="00744EEF"/>
    <w:rsid w:val="007A2D89"/>
    <w:rsid w:val="007B614A"/>
    <w:rsid w:val="0083539B"/>
    <w:rsid w:val="0084131A"/>
    <w:rsid w:val="00856B32"/>
    <w:rsid w:val="00864221"/>
    <w:rsid w:val="008C30E4"/>
    <w:rsid w:val="008D0B21"/>
    <w:rsid w:val="008F0D91"/>
    <w:rsid w:val="00936575"/>
    <w:rsid w:val="00982F58"/>
    <w:rsid w:val="009A07C1"/>
    <w:rsid w:val="00A568E6"/>
    <w:rsid w:val="00A6026F"/>
    <w:rsid w:val="00A649A9"/>
    <w:rsid w:val="00A96CE3"/>
    <w:rsid w:val="00BB5E6B"/>
    <w:rsid w:val="00BB609F"/>
    <w:rsid w:val="00D6178A"/>
    <w:rsid w:val="00DD2D03"/>
    <w:rsid w:val="00EB74BC"/>
    <w:rsid w:val="00EC05EC"/>
    <w:rsid w:val="00EC49E2"/>
    <w:rsid w:val="00F3377F"/>
    <w:rsid w:val="00F92499"/>
    <w:rsid w:val="00FB0C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B68"/>
  <w15:docId w15:val="{3E8DF90C-B454-4F1B-A604-DE24C05E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rFonts w:ascii="Times New Roman" w:eastAsia="Times New Roman" w:hAnsi="Times New Roman" w:cs="Times New Roman"/>
      <w:szCs w:val="20"/>
      <w:lang w:val="en-GB" w:bidi="ar-SA"/>
    </w:rPr>
  </w:style>
  <w:style w:type="paragraph" w:styleId="1">
    <w:name w:val="heading 1"/>
    <w:basedOn w:val="a1"/>
    <w:next w:val="Text1"/>
    <w:qFormat/>
    <w:pPr>
      <w:keepNext/>
      <w:numPr>
        <w:numId w:val="1"/>
      </w:numPr>
      <w:spacing w:before="240"/>
      <w:ind w:left="482" w:hanging="482"/>
      <w:outlineLvl w:val="0"/>
    </w:pPr>
    <w:rPr>
      <w:b/>
      <w:smallCaps/>
      <w:kern w:val="2"/>
    </w:rPr>
  </w:style>
  <w:style w:type="paragraph" w:styleId="21">
    <w:name w:val="heading 2"/>
    <w:basedOn w:val="a1"/>
    <w:next w:val="Text2"/>
    <w:qFormat/>
    <w:pPr>
      <w:keepNext/>
      <w:numPr>
        <w:ilvl w:val="1"/>
        <w:numId w:val="1"/>
      </w:numPr>
      <w:ind w:left="1202" w:firstLine="0"/>
      <w:outlineLvl w:val="1"/>
    </w:pPr>
    <w:rPr>
      <w:b/>
    </w:rPr>
  </w:style>
  <w:style w:type="paragraph" w:styleId="31">
    <w:name w:val="heading 3"/>
    <w:basedOn w:val="a1"/>
    <w:next w:val="Text3"/>
    <w:qFormat/>
    <w:pPr>
      <w:keepNext/>
      <w:numPr>
        <w:ilvl w:val="2"/>
        <w:numId w:val="1"/>
      </w:numPr>
      <w:ind w:left="1984" w:hanging="782"/>
      <w:outlineLvl w:val="2"/>
    </w:pPr>
    <w:rPr>
      <w:i/>
    </w:rPr>
  </w:style>
  <w:style w:type="paragraph" w:styleId="41">
    <w:name w:val="heading 4"/>
    <w:basedOn w:val="a1"/>
    <w:next w:val="Text4"/>
    <w:qFormat/>
    <w:pPr>
      <w:keepNext/>
      <w:numPr>
        <w:ilvl w:val="3"/>
        <w:numId w:val="1"/>
      </w:numPr>
      <w:ind w:left="1984" w:hanging="782"/>
      <w:outlineLvl w:val="3"/>
    </w:pPr>
  </w:style>
  <w:style w:type="paragraph" w:styleId="51">
    <w:name w:val="heading 5"/>
    <w:basedOn w:val="a1"/>
    <w:next w:val="a1"/>
    <w:qFormat/>
    <w:pPr>
      <w:tabs>
        <w:tab w:val="left" w:pos="0"/>
      </w:tabs>
      <w:spacing w:before="240" w:after="60"/>
      <w:outlineLvl w:val="4"/>
    </w:pPr>
    <w:rPr>
      <w:rFonts w:ascii="Arial" w:hAnsi="Arial" w:cs="Arial"/>
      <w:sz w:val="22"/>
    </w:rPr>
  </w:style>
  <w:style w:type="paragraph" w:styleId="6">
    <w:name w:val="heading 6"/>
    <w:basedOn w:val="a1"/>
    <w:next w:val="a1"/>
    <w:qFormat/>
    <w:pPr>
      <w:tabs>
        <w:tab w:val="left" w:pos="0"/>
      </w:tabs>
      <w:spacing w:before="240" w:after="60"/>
      <w:outlineLvl w:val="5"/>
    </w:pPr>
    <w:rPr>
      <w:rFonts w:ascii="Arial" w:hAnsi="Arial" w:cs="Arial"/>
      <w:i/>
      <w:sz w:val="22"/>
    </w:rPr>
  </w:style>
  <w:style w:type="paragraph" w:styleId="7">
    <w:name w:val="heading 7"/>
    <w:basedOn w:val="a1"/>
    <w:next w:val="a1"/>
    <w:qFormat/>
    <w:pPr>
      <w:tabs>
        <w:tab w:val="left" w:pos="0"/>
      </w:tabs>
      <w:spacing w:before="240" w:after="60"/>
      <w:outlineLvl w:val="6"/>
    </w:pPr>
    <w:rPr>
      <w:rFonts w:ascii="Arial" w:hAnsi="Arial" w:cs="Arial"/>
      <w:sz w:val="20"/>
    </w:rPr>
  </w:style>
  <w:style w:type="paragraph" w:styleId="8">
    <w:name w:val="heading 8"/>
    <w:basedOn w:val="a1"/>
    <w:next w:val="a1"/>
    <w:qFormat/>
    <w:pPr>
      <w:tabs>
        <w:tab w:val="left" w:pos="0"/>
      </w:tabs>
      <w:spacing w:before="240" w:after="60"/>
      <w:outlineLvl w:val="7"/>
    </w:pPr>
    <w:rPr>
      <w:rFonts w:ascii="Arial" w:hAnsi="Arial" w:cs="Arial"/>
      <w:i/>
      <w:sz w:val="20"/>
    </w:rPr>
  </w:style>
  <w:style w:type="paragraph" w:styleId="9">
    <w:name w:val="heading 9"/>
    <w:basedOn w:val="a1"/>
    <w:next w:val="a1"/>
    <w:qFormat/>
    <w:pPr>
      <w:tabs>
        <w:tab w:val="left" w:pos="0"/>
      </w:tabs>
      <w:spacing w:before="240" w:after="60"/>
      <w:outlineLvl w:val="8"/>
    </w:pPr>
    <w:rPr>
      <w:rFonts w:ascii="Arial" w:hAnsi="Arial" w:cs="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a5">
    <w:name w:val="page number"/>
    <w:basedOn w:val="a2"/>
  </w:style>
  <w:style w:type="character" w:styleId="a6">
    <w:name w:val="Hyperlink"/>
    <w:rPr>
      <w:color w:val="0000FF"/>
      <w:u w:val="single"/>
    </w:rPr>
  </w:style>
  <w:style w:type="character" w:styleId="a7">
    <w:name w:val="FollowedHyperlink"/>
    <w:rPr>
      <w:color w:val="606420"/>
      <w:u w:val="single"/>
    </w:rPr>
  </w:style>
  <w:style w:type="character" w:styleId="a8">
    <w:name w:val="annotation reference"/>
    <w:qFormat/>
    <w:rPr>
      <w:sz w:val="16"/>
      <w:szCs w:val="16"/>
    </w:rPr>
  </w:style>
  <w:style w:type="character" w:styleId="a9">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SubTitle1"/>
    <w:qFormat/>
    <w:pPr>
      <w:spacing w:after="480"/>
      <w:jc w:val="center"/>
    </w:pPr>
    <w:rPr>
      <w:b/>
      <w:kern w:val="2"/>
      <w:sz w:val="48"/>
    </w:rPr>
  </w:style>
  <w:style w:type="paragraph" w:styleId="aa">
    <w:name w:val="Body Text"/>
    <w:basedOn w:val="a1"/>
    <w:pPr>
      <w:spacing w:after="120"/>
    </w:pPr>
  </w:style>
  <w:style w:type="paragraph" w:styleId="ab">
    <w:name w:val="List"/>
    <w:basedOn w:val="a1"/>
    <w:pPr>
      <w:ind w:left="283" w:hanging="283"/>
    </w:pPr>
  </w:style>
  <w:style w:type="paragraph" w:styleId="ac">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161"/>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d">
    <w:name w:val="Block Text"/>
    <w:basedOn w:val="a1"/>
    <w:qFormat/>
    <w:pPr>
      <w:spacing w:after="120"/>
      <w:ind w:left="1440" w:right="1440"/>
    </w:pPr>
  </w:style>
  <w:style w:type="paragraph" w:styleId="22">
    <w:name w:val="Body Text 2"/>
    <w:basedOn w:val="a1"/>
    <w:qFormat/>
    <w:pPr>
      <w:spacing w:after="120" w:line="480" w:lineRule="auto"/>
    </w:pPr>
  </w:style>
  <w:style w:type="paragraph" w:styleId="32">
    <w:name w:val="Body Text 3"/>
    <w:basedOn w:val="a1"/>
    <w:qFormat/>
    <w:pPr>
      <w:spacing w:after="120"/>
    </w:pPr>
    <w:rPr>
      <w:sz w:val="16"/>
    </w:rPr>
  </w:style>
  <w:style w:type="paragraph" w:styleId="ae">
    <w:name w:val="Body Text First Indent"/>
    <w:basedOn w:val="aa"/>
    <w:qFormat/>
    <w:pPr>
      <w:ind w:firstLine="210"/>
    </w:pPr>
  </w:style>
  <w:style w:type="paragraph" w:styleId="af">
    <w:name w:val="Body Text Indent"/>
    <w:basedOn w:val="a1"/>
    <w:pPr>
      <w:spacing w:after="120"/>
      <w:ind w:left="283"/>
    </w:pPr>
  </w:style>
  <w:style w:type="paragraph" w:styleId="23">
    <w:name w:val="Body Text First Indent 2"/>
    <w:basedOn w:val="af"/>
    <w:qFormat/>
    <w:pPr>
      <w:ind w:firstLine="210"/>
    </w:pPr>
  </w:style>
  <w:style w:type="paragraph" w:styleId="24">
    <w:name w:val="Body Text Indent 2"/>
    <w:basedOn w:val="a1"/>
    <w:qFormat/>
    <w:pPr>
      <w:spacing w:after="120" w:line="480" w:lineRule="auto"/>
      <w:ind w:left="283"/>
    </w:pPr>
  </w:style>
  <w:style w:type="paragraph" w:styleId="33">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0">
    <w:name w:val="Closing"/>
    <w:basedOn w:val="a1"/>
    <w:qFormat/>
    <w:pPr>
      <w:ind w:left="4252"/>
    </w:pPr>
  </w:style>
  <w:style w:type="paragraph" w:styleId="af1">
    <w:name w:val="annotation text"/>
    <w:basedOn w:val="a1"/>
    <w:qFormat/>
    <w:rPr>
      <w:sz w:val="20"/>
    </w:rPr>
  </w:style>
  <w:style w:type="paragraph" w:styleId="af2">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3">
    <w:name w:val="Document Map"/>
    <w:basedOn w:val="a1"/>
    <w:qFormat/>
    <w:pPr>
      <w:shd w:val="clear" w:color="auto" w:fill="000080"/>
    </w:pPr>
    <w:rPr>
      <w:rFonts w:ascii="Tahoma" w:hAnsi="Tahoma" w:cs="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4">
    <w:name w:val="endnote text"/>
    <w:basedOn w:val="a1"/>
    <w:rPr>
      <w:sz w:val="20"/>
    </w:rPr>
  </w:style>
  <w:style w:type="paragraph" w:styleId="af5">
    <w:name w:val="envelope address"/>
    <w:basedOn w:val="a1"/>
    <w:pPr>
      <w:spacing w:after="0"/>
    </w:pPr>
  </w:style>
  <w:style w:type="paragraph" w:styleId="25">
    <w:name w:val="envelope return"/>
    <w:basedOn w:val="a1"/>
    <w:pPr>
      <w:spacing w:after="0"/>
    </w:pPr>
    <w:rPr>
      <w:sz w:val="20"/>
    </w:rPr>
  </w:style>
  <w:style w:type="paragraph" w:customStyle="1" w:styleId="HeaderandFooter">
    <w:name w:val="Header and Footer"/>
    <w:basedOn w:val="a1"/>
    <w:qFormat/>
    <w:pPr>
      <w:suppressLineNumbers/>
      <w:tabs>
        <w:tab w:val="center" w:pos="4986"/>
        <w:tab w:val="right" w:pos="9972"/>
      </w:tabs>
    </w:pPr>
  </w:style>
  <w:style w:type="paragraph" w:styleId="af6">
    <w:name w:val="footer"/>
    <w:basedOn w:val="a1"/>
    <w:pPr>
      <w:spacing w:after="0"/>
      <w:ind w:right="-567"/>
      <w:jc w:val="left"/>
    </w:pPr>
    <w:rPr>
      <w:rFonts w:ascii="Arial" w:hAnsi="Arial" w:cs="Arial"/>
      <w:sz w:val="16"/>
    </w:rPr>
  </w:style>
  <w:style w:type="paragraph" w:styleId="af7">
    <w:name w:val="footnote text"/>
    <w:basedOn w:val="a1"/>
    <w:pPr>
      <w:ind w:left="357" w:hanging="357"/>
    </w:pPr>
    <w:rPr>
      <w:sz w:val="20"/>
    </w:rPr>
  </w:style>
  <w:style w:type="paragraph" w:styleId="af8">
    <w:name w:val="header"/>
    <w:basedOn w:val="a1"/>
    <w:pPr>
      <w:tabs>
        <w:tab w:val="center" w:pos="4153"/>
        <w:tab w:val="right" w:pos="8306"/>
      </w:tabs>
    </w:pPr>
  </w:style>
  <w:style w:type="paragraph" w:styleId="10">
    <w:name w:val="index 1"/>
    <w:basedOn w:val="a1"/>
    <w:next w:val="a1"/>
    <w:pPr>
      <w:ind w:left="240" w:hanging="240"/>
    </w:pPr>
  </w:style>
  <w:style w:type="paragraph" w:styleId="26">
    <w:name w:val="index 2"/>
    <w:basedOn w:val="a1"/>
    <w:next w:val="a1"/>
    <w:pPr>
      <w:ind w:left="480" w:hanging="240"/>
    </w:pPr>
  </w:style>
  <w:style w:type="paragraph" w:styleId="34">
    <w:name w:val="index 3"/>
    <w:basedOn w:val="a1"/>
    <w:next w:val="a1"/>
    <w:pPr>
      <w:ind w:left="720" w:hanging="240"/>
    </w:pPr>
  </w:style>
  <w:style w:type="paragraph" w:styleId="42">
    <w:name w:val="index 4"/>
    <w:basedOn w:val="a1"/>
    <w:next w:val="a1"/>
    <w:qFormat/>
    <w:pPr>
      <w:ind w:left="960" w:hanging="240"/>
    </w:pPr>
  </w:style>
  <w:style w:type="paragraph" w:styleId="52">
    <w:name w:val="index 5"/>
    <w:basedOn w:val="a1"/>
    <w:next w:val="a1"/>
    <w:qFormat/>
    <w:pPr>
      <w:ind w:left="1200" w:hanging="240"/>
    </w:pPr>
  </w:style>
  <w:style w:type="paragraph" w:styleId="60">
    <w:name w:val="index 6"/>
    <w:basedOn w:val="a1"/>
    <w:next w:val="a1"/>
    <w:qFormat/>
    <w:pPr>
      <w:ind w:left="1440" w:hanging="240"/>
    </w:pPr>
  </w:style>
  <w:style w:type="paragraph" w:styleId="70">
    <w:name w:val="index 7"/>
    <w:basedOn w:val="a1"/>
    <w:next w:val="a1"/>
    <w:qFormat/>
    <w:pPr>
      <w:ind w:left="1680" w:hanging="240"/>
    </w:pPr>
  </w:style>
  <w:style w:type="paragraph" w:styleId="80">
    <w:name w:val="index 8"/>
    <w:basedOn w:val="a1"/>
    <w:next w:val="a1"/>
    <w:qFormat/>
    <w:pPr>
      <w:ind w:left="1920" w:hanging="240"/>
    </w:pPr>
  </w:style>
  <w:style w:type="paragraph" w:styleId="90">
    <w:name w:val="index 9"/>
    <w:basedOn w:val="a1"/>
    <w:next w:val="a1"/>
    <w:qFormat/>
    <w:pPr>
      <w:ind w:left="2160" w:hanging="240"/>
    </w:pPr>
  </w:style>
  <w:style w:type="paragraph" w:styleId="af9">
    <w:name w:val="index heading"/>
    <w:basedOn w:val="a1"/>
    <w:next w:val="10"/>
    <w:rPr>
      <w:rFonts w:ascii="Arial" w:hAnsi="Arial" w:cs="Arial"/>
      <w:b/>
    </w:rPr>
  </w:style>
  <w:style w:type="paragraph" w:styleId="30">
    <w:name w:val="List Bullet 3"/>
    <w:basedOn w:val="Text3"/>
    <w:qFormat/>
    <w:pPr>
      <w:numPr>
        <w:numId w:val="18"/>
      </w:numPr>
      <w:tabs>
        <w:tab w:val="clear" w:pos="2302"/>
      </w:tabs>
    </w:pPr>
  </w:style>
  <w:style w:type="paragraph" w:styleId="4">
    <w:name w:val="List Bullet 4"/>
    <w:basedOn w:val="Text4"/>
    <w:qFormat/>
    <w:pPr>
      <w:numPr>
        <w:numId w:val="19"/>
      </w:numPr>
      <w:tabs>
        <w:tab w:val="clear" w:pos="2302"/>
      </w:tabs>
    </w:pPr>
  </w:style>
  <w:style w:type="paragraph" w:styleId="50">
    <w:name w:val="List Bullet 5"/>
    <w:basedOn w:val="a1"/>
    <w:qFormat/>
    <w:pPr>
      <w:numPr>
        <w:numId w:val="3"/>
      </w:numPr>
    </w:pPr>
  </w:style>
  <w:style w:type="paragraph" w:styleId="a">
    <w:name w:val="List Number"/>
    <w:basedOn w:val="a1"/>
    <w:qFormat/>
    <w:pPr>
      <w:numPr>
        <w:numId w:val="6"/>
      </w:numPr>
    </w:pPr>
  </w:style>
  <w:style w:type="paragraph" w:styleId="a0">
    <w:name w:val="List Bullet"/>
    <w:basedOn w:val="a1"/>
    <w:qFormat/>
    <w:pPr>
      <w:numPr>
        <w:numId w:val="12"/>
      </w:numPr>
    </w:pPr>
  </w:style>
  <w:style w:type="paragraph" w:styleId="20">
    <w:name w:val="List Bullet 2"/>
    <w:basedOn w:val="Text2"/>
    <w:qFormat/>
    <w:pPr>
      <w:numPr>
        <w:numId w:val="11"/>
      </w:numPr>
      <w:tabs>
        <w:tab w:val="clear" w:pos="2161"/>
      </w:tabs>
    </w:pPr>
  </w:style>
  <w:style w:type="paragraph" w:styleId="afa">
    <w:name w:val="List Continue"/>
    <w:basedOn w:val="a1"/>
    <w:qFormat/>
    <w:pPr>
      <w:spacing w:after="120"/>
      <w:ind w:left="283"/>
    </w:pPr>
  </w:style>
  <w:style w:type="paragraph" w:styleId="27">
    <w:name w:val="List Continue 2"/>
    <w:basedOn w:val="a1"/>
    <w:qFormat/>
    <w:pPr>
      <w:spacing w:after="120"/>
      <w:ind w:left="566"/>
    </w:pPr>
  </w:style>
  <w:style w:type="paragraph" w:styleId="35">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5"/>
      </w:numPr>
      <w:tabs>
        <w:tab w:val="clear" w:pos="2161"/>
      </w:tabs>
    </w:pPr>
  </w:style>
  <w:style w:type="paragraph" w:styleId="3">
    <w:name w:val="List Number 3"/>
    <w:basedOn w:val="Text3"/>
    <w:qFormat/>
    <w:pPr>
      <w:numPr>
        <w:numId w:val="8"/>
      </w:numPr>
      <w:tabs>
        <w:tab w:val="clear" w:pos="2302"/>
      </w:tabs>
    </w:pPr>
  </w:style>
  <w:style w:type="paragraph" w:styleId="40">
    <w:name w:val="List Number 4"/>
    <w:basedOn w:val="Text4"/>
    <w:qFormat/>
    <w:pPr>
      <w:numPr>
        <w:numId w:val="20"/>
      </w:numPr>
      <w:tabs>
        <w:tab w:val="clear" w:pos="2302"/>
      </w:tabs>
    </w:pPr>
  </w:style>
  <w:style w:type="paragraph" w:styleId="5">
    <w:name w:val="List Number 5"/>
    <w:basedOn w:val="a1"/>
    <w:qFormat/>
    <w:pPr>
      <w:numPr>
        <w:numId w:val="2"/>
      </w:numPr>
    </w:pPr>
  </w:style>
  <w:style w:type="paragraph" w:styleId="afb">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a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afd">
    <w:name w:val="Normal Indent"/>
    <w:basedOn w:val="a1"/>
    <w:qFormat/>
    <w:pPr>
      <w:ind w:left="720"/>
    </w:pPr>
  </w:style>
  <w:style w:type="paragraph" w:styleId="afe">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191" w:hanging="119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ind w:left="483" w:hanging="483"/>
    </w:pPr>
    <w:rPr>
      <w:b w:val="0"/>
      <w:smallCaps w:val="0"/>
    </w:rPr>
  </w:style>
  <w:style w:type="paragraph" w:customStyle="1" w:styleId="NumPar2">
    <w:name w:val="NumPar 2"/>
    <w:basedOn w:val="21"/>
    <w:next w:val="Text2"/>
    <w:qFormat/>
    <w:pPr>
      <w:keepNext w:val="0"/>
      <w:numPr>
        <w:ilvl w:val="0"/>
        <w:numId w:val="0"/>
      </w:numPr>
      <w:ind w:left="1202"/>
    </w:pPr>
    <w:rPr>
      <w:b w:val="0"/>
    </w:rPr>
  </w:style>
  <w:style w:type="paragraph" w:customStyle="1" w:styleId="NumPar3">
    <w:name w:val="NumPar 3"/>
    <w:basedOn w:val="31"/>
    <w:next w:val="Text3"/>
    <w:qFormat/>
    <w:pPr>
      <w:keepNext w:val="0"/>
      <w:numPr>
        <w:ilvl w:val="0"/>
        <w:numId w:val="0"/>
      </w:numPr>
      <w:ind w:left="1984" w:hanging="782"/>
    </w:pPr>
    <w:rPr>
      <w:i w:val="0"/>
    </w:rPr>
  </w:style>
  <w:style w:type="paragraph" w:customStyle="1" w:styleId="NumPar4">
    <w:name w:val="NumPar 4"/>
    <w:basedOn w:val="41"/>
    <w:next w:val="Text4"/>
    <w:qFormat/>
    <w:pPr>
      <w:keepNext w:val="0"/>
      <w:numPr>
        <w:ilvl w:val="0"/>
        <w:numId w:val="0"/>
      </w:numPr>
      <w:ind w:left="1984" w:hanging="782"/>
    </w:pPr>
  </w:style>
  <w:style w:type="paragraph" w:customStyle="1" w:styleId="PartTitle">
    <w:name w:val="PartTitle"/>
    <w:basedOn w:val="a1"/>
    <w:next w:val="ChapterTitle"/>
    <w:qFormat/>
    <w:pPr>
      <w:keepNext/>
      <w:pageBreakBefore/>
      <w:spacing w:after="480"/>
      <w:jc w:val="center"/>
    </w:pPr>
    <w:rPr>
      <w:b/>
      <w:sz w:val="36"/>
    </w:rPr>
  </w:style>
  <w:style w:type="paragraph" w:styleId="aff">
    <w:name w:val="Plain Text"/>
    <w:basedOn w:val="a1"/>
    <w:qFormat/>
    <w:rPr>
      <w:rFonts w:ascii="Courier New" w:hAnsi="Courier New" w:cs="Courier New"/>
      <w:sz w:val="20"/>
    </w:rPr>
  </w:style>
  <w:style w:type="paragraph" w:styleId="aff0">
    <w:name w:val="Salutation"/>
    <w:basedOn w:val="a1"/>
    <w:next w:val="a1"/>
    <w:qFormat/>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next w:val="aa"/>
    <w:qFormat/>
    <w:pPr>
      <w:spacing w:after="60"/>
      <w:jc w:val="center"/>
      <w:outlineLvl w:val="1"/>
    </w:pPr>
    <w:rPr>
      <w:rFonts w:ascii="Arial" w:hAnsi="Arial" w:cs="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3">
    <w:name w:val="table of authorities"/>
    <w:basedOn w:val="a1"/>
    <w:next w:val="a1"/>
    <w:qFormat/>
    <w:pPr>
      <w:ind w:left="240" w:hanging="240"/>
    </w:pPr>
  </w:style>
  <w:style w:type="paragraph" w:styleId="aff4">
    <w:name w:val="table of figures"/>
    <w:basedOn w:val="a1"/>
    <w:next w:val="a1"/>
    <w:qFormat/>
    <w:pPr>
      <w:ind w:left="480" w:hanging="480"/>
    </w:pPr>
  </w:style>
  <w:style w:type="paragraph" w:styleId="aff5">
    <w:name w:val="toa heading"/>
    <w:basedOn w:val="a1"/>
    <w:next w:val="a1"/>
    <w:qFormat/>
    <w:pPr>
      <w:spacing w:before="120"/>
    </w:pPr>
    <w:rPr>
      <w:rFonts w:ascii="Arial" w:hAnsi="Arial" w:cs="Arial"/>
      <w:b/>
    </w:rPr>
  </w:style>
  <w:style w:type="paragraph" w:styleId="11">
    <w:name w:val="toc 1"/>
    <w:basedOn w:val="a1"/>
    <w:next w:val="a1"/>
    <w:pPr>
      <w:tabs>
        <w:tab w:val="right" w:leader="dot" w:pos="8640"/>
      </w:tabs>
      <w:spacing w:before="120" w:after="120"/>
      <w:ind w:left="482" w:right="720" w:hanging="482"/>
    </w:pPr>
    <w:rPr>
      <w:caps/>
    </w:rPr>
  </w:style>
  <w:style w:type="paragraph" w:styleId="28">
    <w:name w:val="toc 2"/>
    <w:basedOn w:val="a1"/>
    <w:next w:val="a1"/>
    <w:pPr>
      <w:tabs>
        <w:tab w:val="right" w:leader="dot" w:pos="8640"/>
      </w:tabs>
      <w:spacing w:before="60" w:after="60"/>
      <w:ind w:left="1077" w:right="720" w:hanging="595"/>
    </w:pPr>
  </w:style>
  <w:style w:type="paragraph" w:styleId="36">
    <w:name w:val="toc 3"/>
    <w:basedOn w:val="a1"/>
    <w:next w:val="a1"/>
    <w:pPr>
      <w:tabs>
        <w:tab w:val="right" w:leader="dot" w:pos="8640"/>
      </w:tabs>
      <w:spacing w:before="60" w:after="60"/>
      <w:ind w:left="1916" w:right="720" w:hanging="839"/>
    </w:pPr>
  </w:style>
  <w:style w:type="paragraph" w:styleId="44">
    <w:name w:val="toc 4"/>
    <w:basedOn w:val="a1"/>
    <w:next w:val="a1"/>
    <w:pPr>
      <w:tabs>
        <w:tab w:val="right" w:leader="dot" w:pos="8641"/>
      </w:tabs>
      <w:spacing w:before="60" w:after="60"/>
      <w:ind w:left="2880" w:right="720" w:hanging="964"/>
    </w:pPr>
  </w:style>
  <w:style w:type="paragraph" w:styleId="54">
    <w:name w:val="toc 5"/>
    <w:basedOn w:val="a1"/>
    <w:next w:val="a1"/>
    <w:pPr>
      <w:tabs>
        <w:tab w:val="right" w:leader="dot" w:pos="8641"/>
      </w:tabs>
      <w:spacing w:before="240" w:after="120"/>
      <w:ind w:right="720"/>
    </w:pPr>
    <w:rPr>
      <w:caps/>
    </w:rPr>
  </w:style>
  <w:style w:type="paragraph" w:styleId="61">
    <w:name w:val="toc 6"/>
    <w:basedOn w:val="a1"/>
    <w:next w:val="a1"/>
    <w:pPr>
      <w:ind w:left="1200"/>
    </w:pPr>
  </w:style>
  <w:style w:type="paragraph" w:styleId="71">
    <w:name w:val="toc 7"/>
    <w:basedOn w:val="a1"/>
    <w:next w:val="a1"/>
    <w:pPr>
      <w:ind w:left="1440"/>
    </w:pPr>
  </w:style>
  <w:style w:type="paragraph" w:styleId="81">
    <w:name w:val="toc 8"/>
    <w:basedOn w:val="a1"/>
    <w:next w:val="a1"/>
    <w:pPr>
      <w:ind w:left="1680"/>
    </w:pPr>
  </w:style>
  <w:style w:type="paragraph" w:styleId="91">
    <w:name w:val="toc 9"/>
    <w:basedOn w:val="a1"/>
    <w:next w:val="a1"/>
    <w:pPr>
      <w:ind w:left="1920"/>
    </w:pPr>
  </w:style>
  <w:style w:type="paragraph" w:customStyle="1" w:styleId="YReferences">
    <w:name w:val="YReferences"/>
    <w:basedOn w:val="a1"/>
    <w:next w:val="a1"/>
    <w:qFormat/>
    <w:pPr>
      <w:spacing w:after="480"/>
      <w:ind w:left="1191" w:hanging="1191"/>
    </w:pPr>
  </w:style>
  <w:style w:type="paragraph" w:customStyle="1" w:styleId="Heading2b">
    <w:name w:val="Heading2b"/>
    <w:basedOn w:val="a1"/>
    <w:qFormat/>
    <w:pPr>
      <w:numPr>
        <w:numId w:val="21"/>
      </w:numPr>
      <w:jc w:val="center"/>
    </w:pPr>
    <w:rPr>
      <w:b/>
      <w:sz w:val="20"/>
      <w:u w:val="single"/>
    </w:rPr>
  </w:style>
  <w:style w:type="paragraph" w:customStyle="1" w:styleId="Annexetitle">
    <w:name w:val="Annexe_title"/>
    <w:basedOn w:val="1"/>
    <w:next w:val="a1"/>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a1"/>
    <w:qFormat/>
    <w:pPr>
      <w:spacing w:before="120" w:after="120"/>
    </w:pPr>
    <w:rPr>
      <w:rFonts w:ascii="Optima" w:hAnsi="Optima" w:cs="Optima"/>
      <w:sz w:val="22"/>
    </w:rPr>
  </w:style>
  <w:style w:type="paragraph" w:customStyle="1" w:styleId="Contact">
    <w:name w:val="Contact"/>
    <w:basedOn w:val="a1"/>
    <w:next w:val="a1"/>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a1"/>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a1"/>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a1"/>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aff6">
    <w:name w:val="TOC Heading"/>
    <w:basedOn w:val="a1"/>
    <w:next w:val="a1"/>
    <w:qFormat/>
    <w:pPr>
      <w:keepNext/>
      <w:spacing w:before="240"/>
      <w:jc w:val="center"/>
    </w:pPr>
    <w:rPr>
      <w:b/>
    </w:rPr>
  </w:style>
  <w:style w:type="paragraph" w:styleId="aff7">
    <w:name w:val="annotation subject"/>
    <w:basedOn w:val="af1"/>
    <w:next w:val="af1"/>
    <w:qFormat/>
    <w:rPr>
      <w:b/>
      <w:bCs/>
    </w:rPr>
  </w:style>
  <w:style w:type="paragraph" w:styleId="aff8">
    <w:name w:val="Balloon Text"/>
    <w:basedOn w:val="a1"/>
    <w:qFormat/>
    <w:rPr>
      <w:rFonts w:ascii="Tahoma" w:hAnsi="Tahoma" w:cs="Tahoma"/>
      <w:sz w:val="16"/>
      <w:szCs w:val="16"/>
    </w:rPr>
  </w:style>
  <w:style w:type="paragraph" w:customStyle="1" w:styleId="StyleListNumber11ptBold">
    <w:name w:val="Style List Number + 11 pt Bold"/>
    <w:basedOn w:val="a"/>
    <w:qFormat/>
    <w:pPr>
      <w:numPr>
        <w:numId w:val="0"/>
      </w:numPr>
      <w:spacing w:before="240" w:after="120"/>
      <w:ind w:left="567" w:hanging="567"/>
    </w:pPr>
    <w:rPr>
      <w:b/>
      <w:bCs/>
      <w:szCs w:val="24"/>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aff9">
    <w:name w:val="List Paragraph"/>
    <w:basedOn w:val="a1"/>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affa">
    <w:name w:val="Table Grid"/>
    <w:basedOn w:val="a3"/>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1"/>
    <w:qFormat/>
    <w:rsid w:val="00A649A9"/>
    <w:pPr>
      <w:widowControl w:val="0"/>
      <w:numPr>
        <w:numId w:val="23"/>
      </w:numPr>
      <w:spacing w:before="100" w:after="100"/>
      <w:jc w:val="left"/>
    </w:pPr>
    <w:rPr>
      <w:lang w:val="fr-FR"/>
    </w:rPr>
  </w:style>
  <w:style w:type="numbering" w:customStyle="1" w:styleId="WWOutlineListStyle">
    <w:name w:val="WW_OutlineListStyle"/>
    <w:basedOn w:val="a4"/>
    <w:rsid w:val="008D0B21"/>
    <w:pPr>
      <w:numPr>
        <w:numId w:val="26"/>
      </w:numPr>
    </w:pPr>
  </w:style>
  <w:style w:type="paragraph" w:customStyle="1" w:styleId="Default">
    <w:name w:val="Default"/>
    <w:rsid w:val="00F3377F"/>
    <w:pPr>
      <w:suppressAutoHyphens w:val="0"/>
      <w:autoSpaceDE w:val="0"/>
      <w:autoSpaceDN w:val="0"/>
      <w:adjustRightInd w:val="0"/>
    </w:pPr>
    <w:rPr>
      <w:rFonts w:ascii="Century Gothic" w:eastAsiaTheme="minorHAnsi" w:hAnsi="Century Gothic" w:cs="Century Gothic"/>
      <w:color w:val="000000"/>
      <w:lang w:eastAsia="en-US" w:bidi="ar-SA"/>
    </w:rPr>
  </w:style>
  <w:style w:type="paragraph" w:customStyle="1" w:styleId="TableParagraph">
    <w:name w:val="Table Paragraph"/>
    <w:basedOn w:val="a1"/>
    <w:uiPriority w:val="1"/>
    <w:qFormat/>
    <w:rsid w:val="00185F66"/>
    <w:pPr>
      <w:widowControl w:val="0"/>
      <w:suppressAutoHyphens w:val="0"/>
      <w:autoSpaceDE w:val="0"/>
      <w:autoSpaceDN w:val="0"/>
      <w:spacing w:after="0"/>
      <w:jc w:val="left"/>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mmhinces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DCF2-9069-4217-A6FD-AB818A38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1091</Words>
  <Characters>6225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3</cp:revision>
  <dcterms:created xsi:type="dcterms:W3CDTF">2022-03-15T14:29:00Z</dcterms:created>
  <dcterms:modified xsi:type="dcterms:W3CDTF">2023-06-08T10:21:00Z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