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98" w:rsidRPr="00E61E60" w:rsidRDefault="00035198" w:rsidP="00035198">
      <w:pPr>
        <w:spacing w:after="0"/>
        <w:jc w:val="center"/>
        <w:rPr>
          <w:rFonts w:asciiTheme="majorHAnsi" w:hAnsiTheme="majorHAnsi" w:cstheme="majorHAnsi"/>
          <w:b/>
          <w:sz w:val="24"/>
          <w:szCs w:val="24"/>
        </w:rPr>
      </w:pPr>
      <w:r w:rsidRPr="00E61E60">
        <w:rPr>
          <w:rFonts w:asciiTheme="majorHAnsi" w:hAnsiTheme="majorHAnsi" w:cstheme="majorHAnsi"/>
          <w:b/>
          <w:sz w:val="24"/>
          <w:szCs w:val="24"/>
        </w:rPr>
        <w:t>Nota informativă</w:t>
      </w:r>
    </w:p>
    <w:p w:rsidR="00035198" w:rsidRPr="00B2345D" w:rsidRDefault="00035198" w:rsidP="00035198">
      <w:pPr>
        <w:pStyle w:val="20"/>
        <w:shd w:val="clear" w:color="auto" w:fill="auto"/>
        <w:spacing w:line="240" w:lineRule="auto"/>
        <w:ind w:firstLine="580"/>
        <w:jc w:val="center"/>
        <w:rPr>
          <w:rFonts w:asciiTheme="majorHAnsi" w:hAnsiTheme="majorHAnsi" w:cstheme="majorHAnsi"/>
          <w:b/>
          <w:sz w:val="24"/>
          <w:szCs w:val="24"/>
          <w:lang w:val="pt-BR"/>
        </w:rPr>
      </w:pPr>
      <w:r w:rsidRPr="00B2345D">
        <w:rPr>
          <w:rFonts w:asciiTheme="majorHAnsi" w:hAnsiTheme="majorHAnsi" w:cstheme="majorHAnsi"/>
          <w:b/>
          <w:sz w:val="24"/>
          <w:szCs w:val="24"/>
          <w:lang w:val="pt-BR"/>
        </w:rPr>
        <w:t xml:space="preserve">privind probele de audit acumulate la Consiliul raional </w:t>
      </w:r>
      <w:r w:rsidRPr="00B2345D">
        <w:rPr>
          <w:rFonts w:asciiTheme="majorHAnsi" w:hAnsiTheme="majorHAnsi" w:cstheme="majorHAnsi"/>
          <w:b/>
          <w:lang w:val="pt-BR"/>
        </w:rPr>
        <w:t xml:space="preserve">Hîncești </w:t>
      </w:r>
      <w:r w:rsidRPr="00B2345D">
        <w:rPr>
          <w:rFonts w:asciiTheme="majorHAnsi" w:hAnsiTheme="majorHAnsi" w:cstheme="majorHAnsi"/>
          <w:b/>
          <w:sz w:val="24"/>
          <w:szCs w:val="24"/>
          <w:lang w:val="pt-BR"/>
        </w:rPr>
        <w:t xml:space="preserve">în cadrul </w:t>
      </w:r>
    </w:p>
    <w:p w:rsidR="00035198" w:rsidRPr="00B2345D" w:rsidRDefault="00035198" w:rsidP="00035198">
      <w:pPr>
        <w:pStyle w:val="20"/>
        <w:shd w:val="clear" w:color="auto" w:fill="auto"/>
        <w:spacing w:line="240" w:lineRule="auto"/>
        <w:ind w:firstLine="580"/>
        <w:jc w:val="center"/>
        <w:rPr>
          <w:rFonts w:asciiTheme="majorHAnsi" w:hAnsiTheme="majorHAnsi" w:cstheme="majorHAnsi"/>
          <w:b/>
          <w:i/>
          <w:sz w:val="24"/>
          <w:szCs w:val="28"/>
          <w:lang w:val="pt-BR"/>
        </w:rPr>
      </w:pPr>
      <w:r w:rsidRPr="00B2345D">
        <w:rPr>
          <w:rFonts w:asciiTheme="majorHAnsi" w:hAnsiTheme="majorHAnsi" w:cstheme="majorHAnsi"/>
          <w:b/>
          <w:i/>
          <w:sz w:val="24"/>
          <w:szCs w:val="28"/>
          <w:lang w:val="pt-BR"/>
        </w:rPr>
        <w:t xml:space="preserve">auditului follow-up privind implementarea recomandărilor aprobate prin Hotărârea </w:t>
      </w:r>
    </w:p>
    <w:p w:rsidR="00035198" w:rsidRPr="00B2345D" w:rsidRDefault="00035198" w:rsidP="00035198">
      <w:pPr>
        <w:pStyle w:val="20"/>
        <w:shd w:val="clear" w:color="auto" w:fill="auto"/>
        <w:spacing w:line="240" w:lineRule="auto"/>
        <w:ind w:firstLine="580"/>
        <w:jc w:val="center"/>
        <w:rPr>
          <w:rFonts w:asciiTheme="majorHAnsi" w:hAnsiTheme="majorHAnsi" w:cstheme="majorHAnsi"/>
          <w:b/>
          <w:i/>
          <w:sz w:val="24"/>
          <w:szCs w:val="28"/>
          <w:lang w:val="pt-BR"/>
        </w:rPr>
      </w:pPr>
      <w:r w:rsidRPr="00B2345D">
        <w:rPr>
          <w:rFonts w:asciiTheme="majorHAnsi" w:hAnsiTheme="majorHAnsi" w:cstheme="majorHAnsi"/>
          <w:b/>
          <w:i/>
          <w:sz w:val="24"/>
          <w:szCs w:val="28"/>
          <w:lang w:val="pt-BR"/>
        </w:rPr>
        <w:t>Curții de Conturi nr.36 din 16.07.2021 cu privire la Raportul auditului conformității asupra</w:t>
      </w:r>
    </w:p>
    <w:p w:rsidR="00035198" w:rsidRPr="00B2345D" w:rsidRDefault="00035198" w:rsidP="00035198">
      <w:pPr>
        <w:pStyle w:val="20"/>
        <w:shd w:val="clear" w:color="auto" w:fill="auto"/>
        <w:spacing w:line="240" w:lineRule="auto"/>
        <w:ind w:firstLine="580"/>
        <w:jc w:val="center"/>
        <w:rPr>
          <w:rFonts w:asciiTheme="majorHAnsi" w:hAnsiTheme="majorHAnsi" w:cstheme="majorHAnsi"/>
          <w:b/>
          <w:i/>
          <w:sz w:val="24"/>
          <w:szCs w:val="28"/>
          <w:lang w:val="pt-BR"/>
        </w:rPr>
      </w:pPr>
      <w:r w:rsidRPr="00B2345D">
        <w:rPr>
          <w:rFonts w:asciiTheme="majorHAnsi" w:hAnsiTheme="majorHAnsi" w:cstheme="majorHAnsi"/>
          <w:b/>
          <w:i/>
          <w:sz w:val="24"/>
          <w:szCs w:val="28"/>
          <w:lang w:val="pt-BR"/>
        </w:rPr>
        <w:t xml:space="preserve"> implementării Proiectului de construcție a locuințelor pentru păturile socialmente vulnerabile .</w:t>
      </w:r>
    </w:p>
    <w:p w:rsidR="00D71FA2" w:rsidRPr="00B2345D" w:rsidRDefault="00D71FA2" w:rsidP="00D71FA2">
      <w:pPr>
        <w:spacing w:after="0"/>
        <w:jc w:val="center"/>
        <w:rPr>
          <w:rFonts w:asciiTheme="majorHAnsi" w:hAnsiTheme="majorHAnsi" w:cstheme="majorHAnsi"/>
          <w:b/>
          <w:lang w:val="pt-BR"/>
        </w:rPr>
      </w:pPr>
    </w:p>
    <w:tbl>
      <w:tblPr>
        <w:tblW w:w="15417" w:type="dxa"/>
        <w:tblLayout w:type="fixed"/>
        <w:tblLook w:val="04A0" w:firstRow="1" w:lastRow="0" w:firstColumn="1" w:lastColumn="0" w:noHBand="0" w:noVBand="1"/>
      </w:tblPr>
      <w:tblGrid>
        <w:gridCol w:w="472"/>
        <w:gridCol w:w="3464"/>
        <w:gridCol w:w="11481"/>
      </w:tblGrid>
      <w:tr w:rsidR="00B2345D" w:rsidRPr="00A83BC9" w:rsidTr="00B2345D">
        <w:trPr>
          <w:trHeight w:val="32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45D" w:rsidRPr="00662551" w:rsidRDefault="00B2345D" w:rsidP="00035198">
            <w:pPr>
              <w:spacing w:after="0" w:line="240" w:lineRule="auto"/>
              <w:jc w:val="center"/>
              <w:rPr>
                <w:rFonts w:asciiTheme="majorHAnsi" w:eastAsia="Times New Roman" w:hAnsiTheme="majorHAnsi" w:cstheme="majorHAnsi"/>
                <w:b/>
                <w:bCs/>
                <w:i/>
                <w:iCs/>
                <w:color w:val="000000"/>
                <w:sz w:val="20"/>
                <w:szCs w:val="20"/>
              </w:rPr>
            </w:pPr>
            <w:r w:rsidRPr="00662551">
              <w:rPr>
                <w:rFonts w:asciiTheme="majorHAnsi" w:eastAsia="Times New Roman" w:hAnsiTheme="majorHAnsi" w:cstheme="majorHAnsi"/>
                <w:b/>
                <w:bCs/>
                <w:i/>
                <w:iCs/>
                <w:color w:val="000000"/>
                <w:sz w:val="20"/>
                <w:szCs w:val="20"/>
              </w:rPr>
              <w:t>Nr.</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B2345D" w:rsidRPr="00662551" w:rsidRDefault="00B2345D" w:rsidP="00035198">
            <w:pPr>
              <w:spacing w:after="0" w:line="240" w:lineRule="auto"/>
              <w:jc w:val="center"/>
              <w:rPr>
                <w:rFonts w:asciiTheme="majorHAnsi" w:eastAsia="Times New Roman" w:hAnsiTheme="majorHAnsi" w:cstheme="majorHAnsi"/>
                <w:b/>
                <w:bCs/>
                <w:i/>
                <w:iCs/>
                <w:color w:val="000000"/>
                <w:sz w:val="20"/>
                <w:szCs w:val="20"/>
              </w:rPr>
            </w:pPr>
            <w:r w:rsidRPr="00662551">
              <w:rPr>
                <w:rFonts w:asciiTheme="majorHAnsi" w:eastAsia="Times New Roman" w:hAnsiTheme="majorHAnsi" w:cstheme="majorHAnsi"/>
                <w:b/>
                <w:bCs/>
                <w:i/>
                <w:iCs/>
                <w:color w:val="000000"/>
                <w:sz w:val="20"/>
                <w:szCs w:val="20"/>
              </w:rPr>
              <w:t>Cerința/recomandarea</w:t>
            </w:r>
          </w:p>
        </w:tc>
        <w:tc>
          <w:tcPr>
            <w:tcW w:w="11481" w:type="dxa"/>
            <w:tcBorders>
              <w:top w:val="single" w:sz="4" w:space="0" w:color="auto"/>
              <w:left w:val="nil"/>
              <w:bottom w:val="single" w:sz="4" w:space="0" w:color="auto"/>
              <w:right w:val="single" w:sz="4" w:space="0" w:color="auto"/>
            </w:tcBorders>
            <w:shd w:val="clear" w:color="auto" w:fill="auto"/>
            <w:vAlign w:val="center"/>
            <w:hideMark/>
          </w:tcPr>
          <w:p w:rsidR="00B2345D" w:rsidRPr="00662551" w:rsidRDefault="00B2345D" w:rsidP="00035198">
            <w:pPr>
              <w:spacing w:after="0" w:line="240" w:lineRule="auto"/>
              <w:jc w:val="center"/>
              <w:rPr>
                <w:rFonts w:asciiTheme="majorHAnsi" w:eastAsia="Times New Roman" w:hAnsiTheme="majorHAnsi" w:cstheme="majorHAnsi"/>
                <w:b/>
                <w:bCs/>
                <w:i/>
                <w:iCs/>
                <w:color w:val="000000"/>
                <w:sz w:val="20"/>
                <w:szCs w:val="20"/>
              </w:rPr>
            </w:pPr>
            <w:r w:rsidRPr="00662551">
              <w:rPr>
                <w:rFonts w:asciiTheme="majorHAnsi" w:eastAsia="Times New Roman" w:hAnsiTheme="majorHAnsi" w:cstheme="majorHAnsi"/>
                <w:b/>
                <w:bCs/>
                <w:i/>
                <w:iCs/>
                <w:color w:val="000000"/>
                <w:sz w:val="20"/>
                <w:szCs w:val="20"/>
              </w:rPr>
              <w:t>Constatarea</w:t>
            </w:r>
          </w:p>
        </w:tc>
      </w:tr>
      <w:tr w:rsidR="00B2345D" w:rsidRPr="00A83BC9" w:rsidTr="00B2345D">
        <w:trPr>
          <w:trHeight w:val="2577"/>
        </w:trPr>
        <w:tc>
          <w:tcPr>
            <w:tcW w:w="472" w:type="dxa"/>
            <w:tcBorders>
              <w:top w:val="nil"/>
              <w:left w:val="single" w:sz="4" w:space="0" w:color="auto"/>
              <w:bottom w:val="single" w:sz="4" w:space="0" w:color="auto"/>
              <w:right w:val="single" w:sz="4" w:space="0" w:color="auto"/>
            </w:tcBorders>
            <w:shd w:val="clear" w:color="auto" w:fill="auto"/>
            <w:noWrap/>
          </w:tcPr>
          <w:p w:rsidR="00B2345D" w:rsidRPr="00662551" w:rsidRDefault="00B2345D" w:rsidP="006B107A">
            <w:pPr>
              <w:spacing w:after="0" w:line="240" w:lineRule="auto"/>
              <w:rPr>
                <w:rFonts w:asciiTheme="majorHAnsi" w:eastAsia="Times New Roman" w:hAnsiTheme="majorHAnsi" w:cstheme="majorHAnsi"/>
                <w:color w:val="000000"/>
                <w:sz w:val="20"/>
                <w:szCs w:val="20"/>
              </w:rPr>
            </w:pPr>
          </w:p>
        </w:tc>
        <w:tc>
          <w:tcPr>
            <w:tcW w:w="3464" w:type="dxa"/>
            <w:tcBorders>
              <w:top w:val="nil"/>
              <w:left w:val="nil"/>
              <w:bottom w:val="single" w:sz="4" w:space="0" w:color="auto"/>
              <w:right w:val="single" w:sz="4" w:space="0" w:color="auto"/>
            </w:tcBorders>
            <w:shd w:val="clear" w:color="auto" w:fill="auto"/>
            <w:noWrap/>
          </w:tcPr>
          <w:p w:rsidR="00B2345D" w:rsidRPr="00B2345D" w:rsidRDefault="00B2345D" w:rsidP="00B2345D">
            <w:pPr>
              <w:rPr>
                <w:rFonts w:asciiTheme="majorHAnsi" w:hAnsiTheme="majorHAnsi" w:cstheme="majorHAnsi"/>
                <w:color w:val="000000"/>
                <w:sz w:val="20"/>
                <w:szCs w:val="20"/>
                <w:lang w:val="pt-BR"/>
              </w:rPr>
            </w:pPr>
            <w:r w:rsidRPr="00B2345D">
              <w:rPr>
                <w:rFonts w:asciiTheme="majorHAnsi" w:hAnsiTheme="majorHAnsi" w:cstheme="majorHAnsi"/>
                <w:b/>
                <w:color w:val="000000"/>
                <w:sz w:val="20"/>
                <w:szCs w:val="20"/>
                <w:lang w:val="pt-BR"/>
              </w:rPr>
              <w:t xml:space="preserve">4. revizuirea Regulamentelor locale cu privire la modul şi condițiile de desfășurare a Proiectului de construcție a locuințelor pentru păturile social/economic vulnerabile II, în vederea ajustării la prevederile Legii nr.75 din 30.04.2015 și ale cadrului normativ aferent (pct.4.1.); </w:t>
            </w:r>
          </w:p>
        </w:tc>
        <w:tc>
          <w:tcPr>
            <w:tcW w:w="11481" w:type="dxa"/>
            <w:tcBorders>
              <w:top w:val="nil"/>
              <w:left w:val="nil"/>
              <w:bottom w:val="single" w:sz="4" w:space="0" w:color="auto"/>
              <w:right w:val="single" w:sz="4" w:space="0" w:color="auto"/>
            </w:tcBorders>
            <w:shd w:val="clear" w:color="auto" w:fill="auto"/>
            <w:noWrap/>
          </w:tcPr>
          <w:p w:rsidR="00B2345D" w:rsidRPr="00B2345D" w:rsidRDefault="00B2345D" w:rsidP="006B107A">
            <w:pPr>
              <w:pStyle w:val="a3"/>
              <w:numPr>
                <w:ilvl w:val="0"/>
                <w:numId w:val="8"/>
              </w:numPr>
              <w:spacing w:after="0" w:line="240" w:lineRule="auto"/>
              <w:ind w:left="0" w:firstLine="0"/>
              <w:jc w:val="both"/>
              <w:rPr>
                <w:rFonts w:asciiTheme="majorHAnsi" w:hAnsiTheme="majorHAnsi" w:cstheme="majorHAnsi"/>
                <w:i/>
                <w:sz w:val="24"/>
                <w:szCs w:val="28"/>
                <w:lang w:val="pt-BR"/>
              </w:rPr>
            </w:pPr>
            <w:r w:rsidRPr="00B2345D">
              <w:rPr>
                <w:rFonts w:asciiTheme="majorHAnsi" w:hAnsiTheme="majorHAnsi" w:cstheme="majorHAnsi"/>
                <w:i/>
                <w:sz w:val="24"/>
                <w:szCs w:val="28"/>
                <w:lang w:val="pt-BR"/>
              </w:rPr>
              <w:t xml:space="preserve">Regulamentul local aprobat de către </w:t>
            </w:r>
            <w:r w:rsidRPr="00B2345D">
              <w:rPr>
                <w:rFonts w:asciiTheme="majorHAnsi" w:hAnsiTheme="majorHAnsi" w:cstheme="majorHAnsi"/>
                <w:b/>
                <w:i/>
                <w:sz w:val="24"/>
                <w:szCs w:val="28"/>
                <w:lang w:val="pt-BR"/>
              </w:rPr>
              <w:t>CR Hîncești</w:t>
            </w:r>
            <w:r w:rsidRPr="00B2345D">
              <w:rPr>
                <w:rFonts w:asciiTheme="majorHAnsi" w:hAnsiTheme="majorHAnsi" w:cstheme="majorHAnsi"/>
                <w:i/>
                <w:sz w:val="24"/>
                <w:szCs w:val="28"/>
                <w:lang w:val="pt-BR"/>
              </w:rPr>
              <w:t xml:space="preserve"> din cadrul Proiectului nu corespunde în totalitate condițiilor și criteriilor stabilite prin Regulamentul aprobat prin Ordinul nr.75 din 14.05.2014.</w:t>
            </w:r>
          </w:p>
          <w:p w:rsidR="00B2345D" w:rsidRPr="00B2345D" w:rsidRDefault="00B2345D" w:rsidP="006B107A">
            <w:pPr>
              <w:spacing w:after="0" w:line="240" w:lineRule="auto"/>
              <w:ind w:firstLine="567"/>
              <w:jc w:val="both"/>
              <w:rPr>
                <w:rFonts w:asciiTheme="majorHAnsi" w:eastAsia="Times New Roman" w:hAnsiTheme="majorHAnsi" w:cstheme="majorHAnsi"/>
                <w:bCs/>
                <w:color w:val="000000"/>
                <w:sz w:val="24"/>
                <w:szCs w:val="24"/>
                <w:lang w:val="pt-BR"/>
              </w:rPr>
            </w:pPr>
            <w:r w:rsidRPr="00B2345D">
              <w:rPr>
                <w:rFonts w:asciiTheme="majorHAnsi" w:eastAsia="Times New Roman" w:hAnsiTheme="majorHAnsi" w:cstheme="majorHAnsi"/>
                <w:bCs/>
                <w:color w:val="000000"/>
                <w:sz w:val="24"/>
                <w:szCs w:val="24"/>
                <w:lang w:val="pt-BR"/>
              </w:rPr>
              <w:t>Conform prevederilor pct.3 din Ordinul nr. 75 din 14.05.2014</w:t>
            </w:r>
            <w:r w:rsidRPr="00CB24F6">
              <w:rPr>
                <w:rStyle w:val="a7"/>
                <w:rFonts w:asciiTheme="majorHAnsi" w:eastAsia="Times New Roman" w:hAnsiTheme="majorHAnsi" w:cstheme="majorHAnsi"/>
                <w:bCs/>
                <w:color w:val="000000"/>
                <w:sz w:val="24"/>
                <w:szCs w:val="24"/>
              </w:rPr>
              <w:footnoteReference w:id="1"/>
            </w:r>
            <w:r w:rsidRPr="00B2345D">
              <w:rPr>
                <w:rFonts w:asciiTheme="majorHAnsi" w:eastAsia="Times New Roman" w:hAnsiTheme="majorHAnsi" w:cstheme="majorHAnsi"/>
                <w:bCs/>
                <w:color w:val="000000"/>
                <w:sz w:val="24"/>
                <w:szCs w:val="24"/>
                <w:lang w:val="pt-BR"/>
              </w:rPr>
              <w:t xml:space="preserve">  se recomandă pentru aplicare autorităților administrației publice locale aprobarea Regulamentului cu privire la modul și condițiile de desfășurare a Proiectului de construcție a locuințelor pentru păturile social/economic vulnerabile II, la repartizarea locuințelor sociale construite în baza Acordului-cadru de împrumut dintre Republica Moldova şi Banca de Dezvoltare a Consiliului Europei, ratificat prin Legea nr.182 din 11 iulie 2012</w:t>
            </w:r>
            <w:r w:rsidRPr="00CB24F6">
              <w:rPr>
                <w:rStyle w:val="a7"/>
                <w:rFonts w:asciiTheme="majorHAnsi" w:eastAsia="Times New Roman" w:hAnsiTheme="majorHAnsi" w:cstheme="majorHAnsi"/>
                <w:bCs/>
                <w:color w:val="000000"/>
                <w:sz w:val="24"/>
                <w:szCs w:val="24"/>
              </w:rPr>
              <w:footnoteReference w:id="2"/>
            </w:r>
            <w:r w:rsidRPr="00B2345D">
              <w:rPr>
                <w:rFonts w:asciiTheme="majorHAnsi" w:eastAsia="Times New Roman" w:hAnsiTheme="majorHAnsi" w:cstheme="majorHAnsi"/>
                <w:bCs/>
                <w:color w:val="000000"/>
                <w:sz w:val="24"/>
                <w:szCs w:val="24"/>
                <w:lang w:val="pt-BR"/>
              </w:rPr>
              <w:t>.</w:t>
            </w:r>
          </w:p>
          <w:p w:rsidR="00B2345D" w:rsidRPr="00B2345D" w:rsidRDefault="00B2345D" w:rsidP="006B107A">
            <w:pPr>
              <w:spacing w:line="240" w:lineRule="auto"/>
              <w:ind w:firstLine="567"/>
              <w:jc w:val="both"/>
              <w:rPr>
                <w:rFonts w:asciiTheme="majorHAnsi" w:hAnsiTheme="majorHAnsi" w:cstheme="majorHAnsi"/>
                <w:i/>
                <w:sz w:val="24"/>
                <w:szCs w:val="24"/>
                <w:lang w:val="pt-BR"/>
              </w:rPr>
            </w:pPr>
            <w:r w:rsidRPr="00B2345D">
              <w:rPr>
                <w:rFonts w:asciiTheme="majorHAnsi" w:eastAsia="Times New Roman" w:hAnsiTheme="majorHAnsi" w:cstheme="majorHAnsi"/>
                <w:bCs/>
                <w:color w:val="000000"/>
                <w:sz w:val="24"/>
                <w:szCs w:val="24"/>
                <w:lang w:val="pt-BR"/>
              </w:rPr>
              <w:t xml:space="preserve">Astfel, în baza Deciziei CR Hîncești nr.06/05 din 18.12.2014 a fost aprobat Regulamentul  privind modul și condițiile de selectare și distribuirea locuințelor pentru păturile social/economic vulnerabile </w:t>
            </w:r>
            <w:r w:rsidRPr="00B2345D">
              <w:rPr>
                <w:rFonts w:asciiTheme="majorHAnsi" w:eastAsia="Times New Roman" w:hAnsiTheme="majorHAnsi" w:cstheme="majorHAnsi"/>
                <w:b/>
                <w:bCs/>
                <w:color w:val="000000"/>
                <w:sz w:val="24"/>
                <w:szCs w:val="24"/>
                <w:lang w:val="pt-BR"/>
              </w:rPr>
              <w:t xml:space="preserve">(în continuare Regulamentul). </w:t>
            </w:r>
            <w:r w:rsidRPr="00B2345D">
              <w:rPr>
                <w:rFonts w:asciiTheme="majorHAnsi" w:hAnsiTheme="majorHAnsi" w:cstheme="majorHAnsi"/>
                <w:iCs/>
                <w:sz w:val="24"/>
                <w:szCs w:val="24"/>
                <w:lang w:val="pt-BR"/>
              </w:rPr>
              <w:t xml:space="preserve">Totodată, Regulamentul CR Hîncești nu a fost ajustat și modificat până în prezent conform Ordinului MADRM nr.78 din 15.12.2017 , iar condițiile stabilite pentru potențialii beneficiari din categoria I) s-au A) sunt depășite. </w:t>
            </w:r>
            <w:r w:rsidRPr="00B2345D">
              <w:rPr>
                <w:rFonts w:asciiTheme="majorHAnsi" w:hAnsiTheme="majorHAnsi" w:cstheme="majorHAnsi"/>
                <w:sz w:val="24"/>
                <w:szCs w:val="24"/>
                <w:lang w:val="pt-BR"/>
              </w:rPr>
              <w:t>Examinând condițiile stabilite prin Regulamentul CR</w:t>
            </w:r>
            <w:r w:rsidRPr="00B2345D">
              <w:rPr>
                <w:rFonts w:asciiTheme="majorHAnsi" w:eastAsia="Times New Roman" w:hAnsiTheme="majorHAnsi" w:cstheme="majorHAnsi"/>
                <w:bCs/>
                <w:color w:val="000000"/>
                <w:sz w:val="24"/>
                <w:szCs w:val="24"/>
                <w:lang w:val="pt-BR"/>
              </w:rPr>
              <w:t xml:space="preserve"> Hîncești</w:t>
            </w:r>
            <w:r w:rsidRPr="00B2345D">
              <w:rPr>
                <w:rFonts w:asciiTheme="majorHAnsi" w:hAnsiTheme="majorHAnsi" w:cstheme="majorHAnsi"/>
                <w:sz w:val="24"/>
                <w:szCs w:val="24"/>
                <w:lang w:val="pt-BR"/>
              </w:rPr>
              <w:t xml:space="preserve">, se constatată că acestea au fost stabilite în baza Regulamentului inițial aprobat prin Ordinul nr.75 din 14.05.2014 cu unile abateri făcînd accent pe: </w:t>
            </w:r>
            <w:r w:rsidRPr="00B2345D">
              <w:rPr>
                <w:rFonts w:asciiTheme="majorHAnsi" w:hAnsiTheme="majorHAnsi" w:cstheme="majorHAnsi"/>
                <w:b/>
                <w:i/>
                <w:sz w:val="24"/>
                <w:szCs w:val="24"/>
                <w:lang w:val="pt-BR"/>
              </w:rPr>
              <w:t>localitatea pe teritoriul căreia se află locuința socială solicitată - pct.3 subpct. 4), 5), 11); raionului Hîncești - pct.10 (6);  localitatea pe teritoriul căreia se află locuința socială solicitată - pct.10(11).</w:t>
            </w:r>
          </w:p>
        </w:tc>
      </w:tr>
      <w:tr w:rsidR="00B2345D" w:rsidRPr="00A83BC9" w:rsidTr="00B2345D">
        <w:trPr>
          <w:trHeight w:val="2577"/>
        </w:trPr>
        <w:tc>
          <w:tcPr>
            <w:tcW w:w="472" w:type="dxa"/>
            <w:tcBorders>
              <w:top w:val="nil"/>
              <w:left w:val="single" w:sz="4" w:space="0" w:color="auto"/>
              <w:bottom w:val="single" w:sz="4" w:space="0" w:color="auto"/>
              <w:right w:val="single" w:sz="4" w:space="0" w:color="auto"/>
            </w:tcBorders>
            <w:shd w:val="clear" w:color="auto" w:fill="auto"/>
            <w:noWrap/>
            <w:hideMark/>
          </w:tcPr>
          <w:p w:rsidR="00B2345D" w:rsidRPr="00662551" w:rsidRDefault="00B2345D" w:rsidP="006B107A">
            <w:pPr>
              <w:spacing w:after="0" w:line="240" w:lineRule="auto"/>
              <w:rPr>
                <w:rFonts w:asciiTheme="majorHAnsi" w:eastAsia="Times New Roman" w:hAnsiTheme="majorHAnsi" w:cstheme="majorHAnsi"/>
                <w:color w:val="000000"/>
                <w:sz w:val="20"/>
                <w:szCs w:val="20"/>
              </w:rPr>
            </w:pPr>
            <w:r w:rsidRPr="00662551">
              <w:rPr>
                <w:rFonts w:asciiTheme="majorHAnsi" w:eastAsia="Times New Roman" w:hAnsiTheme="majorHAnsi" w:cstheme="majorHAnsi"/>
                <w:color w:val="000000"/>
                <w:sz w:val="20"/>
                <w:szCs w:val="20"/>
              </w:rPr>
              <w:lastRenderedPageBreak/>
              <w:t> 1</w:t>
            </w:r>
          </w:p>
        </w:tc>
        <w:tc>
          <w:tcPr>
            <w:tcW w:w="3464" w:type="dxa"/>
            <w:tcBorders>
              <w:top w:val="nil"/>
              <w:left w:val="nil"/>
              <w:bottom w:val="single" w:sz="4" w:space="0" w:color="auto"/>
              <w:right w:val="single" w:sz="4" w:space="0" w:color="auto"/>
            </w:tcBorders>
            <w:shd w:val="clear" w:color="auto" w:fill="auto"/>
            <w:noWrap/>
          </w:tcPr>
          <w:p w:rsidR="00B2345D" w:rsidRPr="00B2345D" w:rsidRDefault="00B2345D" w:rsidP="006B107A">
            <w:pPr>
              <w:rPr>
                <w:rFonts w:asciiTheme="majorHAnsi" w:eastAsia="Times New Roman" w:hAnsiTheme="majorHAnsi" w:cstheme="majorHAnsi"/>
                <w:b/>
                <w:bCs/>
                <w:i/>
                <w:iCs/>
                <w:color w:val="000000"/>
                <w:sz w:val="24"/>
                <w:szCs w:val="24"/>
                <w:lang w:val="pt-BR"/>
              </w:rPr>
            </w:pPr>
            <w:r w:rsidRPr="00B2345D">
              <w:rPr>
                <w:rFonts w:asciiTheme="majorHAnsi" w:eastAsia="Times New Roman" w:hAnsiTheme="majorHAnsi" w:cstheme="majorHAnsi"/>
                <w:b/>
                <w:color w:val="000000"/>
                <w:sz w:val="24"/>
                <w:szCs w:val="24"/>
                <w:lang w:val="pt-BR"/>
              </w:rPr>
              <w:t>7. asigurarea înregistrării conforme în evidența contabilă a locuințelor sociale primite în proprietate (pct.4.3.);</w:t>
            </w:r>
          </w:p>
        </w:tc>
        <w:tc>
          <w:tcPr>
            <w:tcW w:w="11481" w:type="dxa"/>
            <w:tcBorders>
              <w:top w:val="nil"/>
              <w:left w:val="nil"/>
              <w:bottom w:val="single" w:sz="4" w:space="0" w:color="auto"/>
              <w:right w:val="single" w:sz="4" w:space="0" w:color="auto"/>
            </w:tcBorders>
            <w:shd w:val="clear" w:color="auto" w:fill="auto"/>
            <w:noWrap/>
          </w:tcPr>
          <w:p w:rsidR="00B2345D" w:rsidRPr="00B2345D" w:rsidRDefault="00B2345D" w:rsidP="006B107A">
            <w:pPr>
              <w:spacing w:after="0" w:line="240" w:lineRule="auto"/>
              <w:ind w:firstLine="567"/>
              <w:jc w:val="both"/>
              <w:rPr>
                <w:rFonts w:asciiTheme="majorHAnsi" w:hAnsiTheme="majorHAnsi" w:cstheme="majorHAnsi"/>
                <w:i/>
                <w:sz w:val="24"/>
                <w:szCs w:val="24"/>
                <w:lang w:val="pt-BR"/>
              </w:rPr>
            </w:pPr>
            <w:r w:rsidRPr="00B2345D">
              <w:rPr>
                <w:rFonts w:asciiTheme="majorHAnsi" w:hAnsiTheme="majorHAnsi" w:cstheme="majorHAnsi"/>
                <w:i/>
                <w:sz w:val="24"/>
                <w:szCs w:val="24"/>
                <w:lang w:val="pt-BR"/>
              </w:rPr>
              <w:t xml:space="preserve">Serviciul contabil al CR Hîncești participant în cadrul </w:t>
            </w:r>
            <w:r w:rsidRPr="00B2345D">
              <w:rPr>
                <w:rFonts w:asciiTheme="majorHAnsi" w:hAnsiTheme="majorHAnsi" w:cstheme="majorHAnsi"/>
                <w:b/>
                <w:i/>
                <w:sz w:val="24"/>
                <w:szCs w:val="24"/>
                <w:lang w:val="pt-BR"/>
              </w:rPr>
              <w:t>Proiectului de construcție a locuințelor sociale</w:t>
            </w:r>
            <w:r w:rsidRPr="00B2345D">
              <w:rPr>
                <w:rFonts w:asciiTheme="majorHAnsi" w:hAnsiTheme="majorHAnsi" w:cstheme="majorHAnsi"/>
                <w:b/>
                <w:i/>
                <w:sz w:val="24"/>
                <w:szCs w:val="28"/>
                <w:lang w:val="pt-BR"/>
              </w:rPr>
              <w:t xml:space="preserve"> pentru păturile socialmente vulnerabile</w:t>
            </w:r>
            <w:r w:rsidRPr="00B2345D">
              <w:rPr>
                <w:rFonts w:asciiTheme="majorHAnsi" w:hAnsiTheme="majorHAnsi" w:cstheme="majorHAnsi"/>
                <w:i/>
                <w:sz w:val="24"/>
                <w:szCs w:val="24"/>
                <w:lang w:val="pt-BR"/>
              </w:rPr>
              <w:t xml:space="preserve"> (în continuare – Proiectul) nu a asigurat înregistrarea conformă în evidența contabilă a locuințelor sociale primite în proprietate, fiind denaturate rapoartele financiare ale entităților supuse auditului.</w:t>
            </w:r>
          </w:p>
          <w:p w:rsidR="00B2345D" w:rsidRPr="002834DA" w:rsidRDefault="00B2345D" w:rsidP="006B107A">
            <w:pPr>
              <w:pStyle w:val="a3"/>
              <w:spacing w:after="0" w:line="240" w:lineRule="auto"/>
              <w:ind w:left="0" w:firstLine="567"/>
              <w:jc w:val="both"/>
              <w:rPr>
                <w:rFonts w:asciiTheme="majorHAnsi" w:eastAsia="Times New Roman" w:hAnsiTheme="majorHAnsi" w:cstheme="majorHAnsi"/>
                <w:color w:val="000000"/>
                <w:sz w:val="20"/>
                <w:szCs w:val="20"/>
              </w:rPr>
            </w:pPr>
            <w:r w:rsidRPr="00B2345D">
              <w:rPr>
                <w:rFonts w:asciiTheme="majorHAnsi" w:hAnsiTheme="majorHAnsi" w:cstheme="majorHAnsi"/>
                <w:sz w:val="24"/>
                <w:szCs w:val="24"/>
                <w:lang w:val="pt-BR"/>
              </w:rPr>
              <w:t>Astfel, CR Hîncești nu a asigurat înregistrarea în evidența contabilă a 14 locuințe sociale finalizate în sumă totală de 7.545,0 mii lei</w:t>
            </w:r>
            <w:r w:rsidRPr="002834DA">
              <w:rPr>
                <w:rStyle w:val="a7"/>
                <w:rFonts w:asciiTheme="majorHAnsi" w:hAnsiTheme="majorHAnsi" w:cstheme="majorHAnsi"/>
                <w:sz w:val="24"/>
                <w:szCs w:val="24"/>
              </w:rPr>
              <w:footnoteReference w:id="3"/>
            </w:r>
            <w:r w:rsidRPr="00B2345D">
              <w:rPr>
                <w:rFonts w:asciiTheme="majorHAnsi" w:hAnsiTheme="majorHAnsi" w:cstheme="majorHAnsi"/>
                <w:sz w:val="24"/>
                <w:szCs w:val="24"/>
                <w:lang w:val="pt-BR"/>
              </w:rPr>
              <w:t xml:space="preserve">, executate la obiectivele din mun. </w:t>
            </w:r>
            <w:r w:rsidRPr="002834DA">
              <w:rPr>
                <w:rFonts w:asciiTheme="majorHAnsi" w:hAnsiTheme="majorHAnsi" w:cstheme="majorHAnsi"/>
                <w:sz w:val="24"/>
                <w:szCs w:val="24"/>
              </w:rPr>
              <w:t xml:space="preserve">Hîncești, s. Sofia și Bujor.  </w:t>
            </w:r>
          </w:p>
        </w:tc>
      </w:tr>
      <w:tr w:rsidR="00B2345D" w:rsidRPr="00B2345D" w:rsidTr="00B2345D">
        <w:trPr>
          <w:trHeight w:val="290"/>
        </w:trPr>
        <w:tc>
          <w:tcPr>
            <w:tcW w:w="472" w:type="dxa"/>
            <w:tcBorders>
              <w:top w:val="nil"/>
              <w:left w:val="single" w:sz="4" w:space="0" w:color="auto"/>
              <w:bottom w:val="single" w:sz="4" w:space="0" w:color="auto"/>
              <w:right w:val="single" w:sz="4" w:space="0" w:color="auto"/>
            </w:tcBorders>
            <w:shd w:val="clear" w:color="auto" w:fill="auto"/>
            <w:noWrap/>
          </w:tcPr>
          <w:p w:rsidR="00B2345D" w:rsidRPr="00662551" w:rsidRDefault="00B2345D" w:rsidP="006B107A">
            <w:pPr>
              <w:spacing w:after="0" w:line="240" w:lineRule="auto"/>
              <w:rPr>
                <w:rFonts w:asciiTheme="majorHAnsi" w:eastAsia="Times New Roman" w:hAnsiTheme="majorHAnsi" w:cstheme="majorHAnsi"/>
                <w:color w:val="000000"/>
                <w:sz w:val="20"/>
                <w:szCs w:val="20"/>
              </w:rPr>
            </w:pPr>
          </w:p>
        </w:tc>
        <w:tc>
          <w:tcPr>
            <w:tcW w:w="3464" w:type="dxa"/>
            <w:tcBorders>
              <w:top w:val="nil"/>
              <w:left w:val="nil"/>
              <w:bottom w:val="single" w:sz="4" w:space="0" w:color="auto"/>
              <w:right w:val="single" w:sz="4" w:space="0" w:color="auto"/>
            </w:tcBorders>
            <w:shd w:val="clear" w:color="auto" w:fill="auto"/>
            <w:noWrap/>
          </w:tcPr>
          <w:p w:rsidR="00B2345D" w:rsidRPr="00B2345D" w:rsidRDefault="00B2345D" w:rsidP="006B107A">
            <w:pPr>
              <w:pStyle w:val="a3"/>
              <w:spacing w:after="0" w:line="276" w:lineRule="auto"/>
              <w:ind w:left="0"/>
              <w:jc w:val="both"/>
              <w:rPr>
                <w:rFonts w:asciiTheme="majorHAnsi" w:hAnsiTheme="majorHAnsi" w:cstheme="majorHAnsi"/>
                <w:b/>
                <w:sz w:val="24"/>
                <w:szCs w:val="24"/>
                <w:lang w:val="pt-BR"/>
              </w:rPr>
            </w:pPr>
            <w:r w:rsidRPr="00B2345D">
              <w:rPr>
                <w:rFonts w:asciiTheme="majorHAnsi" w:hAnsiTheme="majorHAnsi" w:cstheme="majorHAnsi"/>
                <w:b/>
                <w:sz w:val="24"/>
                <w:szCs w:val="24"/>
                <w:lang w:val="pt-BR"/>
              </w:rPr>
              <w:t>8. asigurarea păstrării statutului de locuință socială a blocurilor de locuințe primite în gestiune, pe toată perioada rambursării creditului (pct.4.3.);</w:t>
            </w:r>
          </w:p>
          <w:p w:rsidR="00B2345D" w:rsidRPr="00B2345D" w:rsidRDefault="00B2345D" w:rsidP="006B107A">
            <w:pPr>
              <w:spacing w:after="0" w:line="240" w:lineRule="auto"/>
              <w:rPr>
                <w:rFonts w:asciiTheme="majorHAnsi" w:eastAsia="Times New Roman" w:hAnsiTheme="majorHAnsi" w:cstheme="majorHAnsi"/>
                <w:b/>
                <w:color w:val="000000"/>
                <w:sz w:val="24"/>
                <w:szCs w:val="24"/>
                <w:lang w:val="pt-BR"/>
              </w:rPr>
            </w:pPr>
          </w:p>
        </w:tc>
        <w:tc>
          <w:tcPr>
            <w:tcW w:w="11481" w:type="dxa"/>
            <w:tcBorders>
              <w:top w:val="nil"/>
              <w:left w:val="nil"/>
              <w:bottom w:val="single" w:sz="4" w:space="0" w:color="auto"/>
              <w:right w:val="single" w:sz="4" w:space="0" w:color="auto"/>
            </w:tcBorders>
            <w:shd w:val="clear" w:color="auto" w:fill="auto"/>
            <w:noWrap/>
          </w:tcPr>
          <w:p w:rsidR="00B2345D" w:rsidRPr="00B2345D" w:rsidRDefault="00B2345D" w:rsidP="006B107A">
            <w:pPr>
              <w:pStyle w:val="a3"/>
              <w:numPr>
                <w:ilvl w:val="0"/>
                <w:numId w:val="3"/>
              </w:numPr>
              <w:spacing w:after="0" w:line="240" w:lineRule="auto"/>
              <w:ind w:left="0" w:firstLine="567"/>
              <w:jc w:val="both"/>
              <w:rPr>
                <w:rFonts w:asciiTheme="majorHAnsi" w:hAnsiTheme="majorHAnsi" w:cstheme="majorHAnsi"/>
                <w:sz w:val="24"/>
                <w:szCs w:val="28"/>
                <w:lang w:val="pt-BR"/>
              </w:rPr>
            </w:pPr>
            <w:r w:rsidRPr="00B2345D">
              <w:rPr>
                <w:rFonts w:asciiTheme="majorHAnsi" w:hAnsiTheme="majorHAnsi" w:cstheme="majorHAnsi"/>
                <w:i/>
                <w:sz w:val="24"/>
                <w:szCs w:val="28"/>
                <w:lang w:val="pt-BR"/>
              </w:rPr>
              <w:t>Realizarea și monitorizarea implementării Proiectului în raionul Hîncești s-a efectuat cu unele deficiențe, ceea ce a afectat obiectivele acestuia precum și interesele publice ale APL</w:t>
            </w:r>
            <w:r w:rsidRPr="00B2345D">
              <w:rPr>
                <w:rFonts w:asciiTheme="majorHAnsi" w:hAnsiTheme="majorHAnsi" w:cstheme="majorHAnsi"/>
                <w:sz w:val="24"/>
                <w:szCs w:val="28"/>
                <w:lang w:val="pt-BR"/>
              </w:rPr>
              <w:t>.</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Astfel, CR Hîncești, în colaborare cu UIP, la 20.02.2014 a inițiat obiectivul „reconstrucția și finalizarea caselor de locuit în 15 localități din raionul Hîncești cu executarea a 56 de apartamente”.</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 xml:space="preserve">Conform actelor de predare-primire locuințelor sociale, care au fost executate separat pe fiecare clădire finalizată, valoarea locuințelor sociale a constituit 39837,8 mii lei. </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Examinând modul de repartizare a locuințelor, auditul relevă că din 56 de apartamente edificate, la situația din 01.02.2023 au fost repartizate doar 32 de locuințe, sau 60,7% din totalul  lor.</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Cu toate că, conform informațiilor prezentate de CR Hîncești, pe parcursul anilor 2017-2022, pe teritoriul acestuia au fost înregistrate persoane cu dizabilități severe, persoane dezinstituționalizate și familii care întrețin copii cu dizabilități severe (Anexa nr.2 la prezentul Raport), totuși, locuințele nu au fost repartizate până în prezent, entitatea motivând această situație prin faptul că casele sociale se află la distanță de centrul raional.</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Auditul menționează că valoare cheltuielilor suportate la lucrări de reconstrucția și reparația locuințelor sociale nerepartizate către beneficiarii  până în prezent au constituit 16147,5 mii lei.</w:t>
            </w:r>
          </w:p>
          <w:p w:rsidR="00B2345D" w:rsidRPr="00B2345D" w:rsidRDefault="00B2345D" w:rsidP="006B107A">
            <w:pPr>
              <w:spacing w:after="0" w:line="240" w:lineRule="auto"/>
              <w:ind w:firstLine="567"/>
              <w:contextualSpacing/>
              <w:jc w:val="both"/>
              <w:rPr>
                <w:rFonts w:asciiTheme="majorHAnsi" w:hAnsiTheme="majorHAnsi" w:cstheme="majorHAnsi"/>
                <w:i/>
                <w:sz w:val="24"/>
                <w:szCs w:val="28"/>
                <w:lang w:val="pt-BR"/>
              </w:rPr>
            </w:pPr>
            <w:r w:rsidRPr="00B2345D">
              <w:rPr>
                <w:rFonts w:asciiTheme="majorHAnsi" w:hAnsiTheme="majorHAnsi" w:cstheme="majorHAnsi"/>
                <w:i/>
                <w:sz w:val="24"/>
                <w:szCs w:val="28"/>
                <w:lang w:val="pt-BR"/>
              </w:rPr>
              <w:t>Persoanele responsabile de realizarea Proiectului nu a asigurat  verificarea exhaustivă a informațiilor parvenite din partea APL nivelul I și corectitudinea includerii obiectelor în „Lista localităților participante la proiect a CR Hîncești”, ca urmare constatându-se o neconcordanță între suprafața transmisă pentru reconstrucție (</w:t>
            </w:r>
            <w:r w:rsidRPr="00B2345D">
              <w:rPr>
                <w:rFonts w:asciiTheme="majorHAnsi" w:hAnsiTheme="majorHAnsi" w:cstheme="majorHAnsi"/>
                <w:i/>
                <w:iCs/>
                <w:sz w:val="24"/>
                <w:szCs w:val="28"/>
                <w:lang w:val="pt-BR"/>
              </w:rPr>
              <w:t>213,8 m</w:t>
            </w:r>
            <w:r w:rsidRPr="00B2345D">
              <w:rPr>
                <w:rFonts w:asciiTheme="majorHAnsi" w:hAnsiTheme="majorHAnsi" w:cstheme="majorHAnsi"/>
                <w:i/>
                <w:iCs/>
                <w:sz w:val="24"/>
                <w:szCs w:val="28"/>
                <w:vertAlign w:val="superscript"/>
                <w:lang w:val="pt-BR"/>
              </w:rPr>
              <w:t>2</w:t>
            </w:r>
            <w:r w:rsidRPr="00B2345D">
              <w:rPr>
                <w:rFonts w:asciiTheme="majorHAnsi" w:hAnsiTheme="majorHAnsi" w:cstheme="majorHAnsi"/>
                <w:i/>
                <w:sz w:val="24"/>
                <w:szCs w:val="28"/>
                <w:lang w:val="pt-BR"/>
              </w:rPr>
              <w:t>) și suprafața primită după reconstrucție (</w:t>
            </w:r>
            <w:r w:rsidRPr="00B2345D">
              <w:rPr>
                <w:rFonts w:asciiTheme="majorHAnsi" w:hAnsiTheme="majorHAnsi" w:cstheme="majorHAnsi"/>
                <w:i/>
                <w:iCs/>
                <w:sz w:val="24"/>
                <w:szCs w:val="28"/>
                <w:lang w:val="pt-BR"/>
              </w:rPr>
              <w:t>130,9 m</w:t>
            </w:r>
            <w:r w:rsidRPr="00B2345D">
              <w:rPr>
                <w:rFonts w:asciiTheme="majorHAnsi" w:hAnsiTheme="majorHAnsi" w:cstheme="majorHAnsi"/>
                <w:i/>
                <w:iCs/>
                <w:sz w:val="24"/>
                <w:szCs w:val="28"/>
                <w:vertAlign w:val="superscript"/>
                <w:lang w:val="pt-BR"/>
              </w:rPr>
              <w:t>2</w:t>
            </w:r>
            <w:r w:rsidRPr="00B2345D">
              <w:rPr>
                <w:rFonts w:asciiTheme="majorHAnsi" w:hAnsiTheme="majorHAnsi" w:cstheme="majorHAnsi"/>
                <w:i/>
                <w:sz w:val="24"/>
                <w:szCs w:val="28"/>
                <w:lang w:val="pt-BR"/>
              </w:rPr>
              <w:t>) de 82,9 m</w:t>
            </w:r>
            <w:r w:rsidRPr="00B2345D">
              <w:rPr>
                <w:rFonts w:asciiTheme="majorHAnsi" w:hAnsiTheme="majorHAnsi" w:cstheme="majorHAnsi"/>
                <w:i/>
                <w:sz w:val="24"/>
                <w:szCs w:val="28"/>
                <w:vertAlign w:val="superscript"/>
                <w:lang w:val="pt-BR"/>
              </w:rPr>
              <w:t>2</w:t>
            </w:r>
            <w:r w:rsidRPr="00B2345D">
              <w:rPr>
                <w:rFonts w:asciiTheme="majorHAnsi" w:hAnsiTheme="majorHAnsi" w:cstheme="majorHAnsi"/>
                <w:i/>
                <w:sz w:val="24"/>
                <w:szCs w:val="28"/>
                <w:lang w:val="pt-BR"/>
              </w:rPr>
              <w:t>, care nu a fost explicată prin documente justificative.</w:t>
            </w:r>
          </w:p>
          <w:p w:rsidR="00B2345D" w:rsidRPr="00B2345D" w:rsidRDefault="00B2345D" w:rsidP="006B107A">
            <w:pPr>
              <w:spacing w:after="0" w:line="240" w:lineRule="auto"/>
              <w:ind w:firstLine="567"/>
              <w:contextualSpacing/>
              <w:jc w:val="both"/>
              <w:rPr>
                <w:rFonts w:asciiTheme="majorHAnsi" w:hAnsiTheme="majorHAnsi" w:cstheme="majorHAnsi"/>
                <w:i/>
                <w:sz w:val="24"/>
                <w:szCs w:val="28"/>
                <w:lang w:val="pt-BR"/>
              </w:rPr>
            </w:pPr>
            <w:r w:rsidRPr="00B2345D">
              <w:rPr>
                <w:rFonts w:asciiTheme="majorHAnsi" w:hAnsiTheme="majorHAnsi" w:cstheme="majorHAnsi"/>
                <w:i/>
                <w:sz w:val="24"/>
                <w:szCs w:val="28"/>
                <w:lang w:val="pt-BR"/>
              </w:rPr>
              <w:t>Mai mult ca atât, din suprafața primită de la reconstrucție, un apartament cu suprafața de 31,7 m</w:t>
            </w:r>
            <w:r w:rsidRPr="00B2345D">
              <w:rPr>
                <w:rFonts w:asciiTheme="majorHAnsi" w:hAnsiTheme="majorHAnsi" w:cstheme="majorHAnsi"/>
                <w:i/>
                <w:sz w:val="24"/>
                <w:szCs w:val="28"/>
                <w:vertAlign w:val="superscript"/>
                <w:lang w:val="pt-BR"/>
              </w:rPr>
              <w:t>2</w:t>
            </w:r>
            <w:r w:rsidRPr="00B2345D">
              <w:rPr>
                <w:rFonts w:asciiTheme="majorHAnsi" w:hAnsiTheme="majorHAnsi" w:cstheme="majorHAnsi"/>
                <w:i/>
                <w:sz w:val="24"/>
                <w:szCs w:val="28"/>
                <w:lang w:val="pt-BR"/>
              </w:rPr>
              <w:t xml:space="preserve"> se consideră privatizat, deși conform RBI este proprietate a CR Hâncești, ceea ce denotă o utilizare abuzivă a proprietății publice.</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Astfel, în baza Deciziei Consiliului comunal Sofia din r-l Hîncești nr.07/01 din 04.10.2013 s-a transmis în proprietatea CR Hîncești blocul locativ cu 4 apartamente (nr. cadastral 5364204149) cu suprafața de 213,8 m</w:t>
            </w:r>
            <w:r w:rsidRPr="00B2345D">
              <w:rPr>
                <w:rFonts w:asciiTheme="majorHAnsi" w:hAnsiTheme="majorHAnsi" w:cstheme="majorHAnsi"/>
                <w:sz w:val="24"/>
                <w:szCs w:val="28"/>
                <w:vertAlign w:val="superscript"/>
                <w:lang w:val="pt-BR"/>
              </w:rPr>
              <w:t xml:space="preserve">2 </w:t>
            </w:r>
            <w:r w:rsidRPr="00B2345D">
              <w:rPr>
                <w:rFonts w:asciiTheme="majorHAnsi" w:hAnsiTheme="majorHAnsi" w:cstheme="majorHAnsi"/>
                <w:sz w:val="24"/>
                <w:szCs w:val="28"/>
                <w:lang w:val="pt-BR"/>
              </w:rPr>
              <w:t xml:space="preserve">pentru </w:t>
            </w:r>
            <w:r w:rsidRPr="00B2345D">
              <w:rPr>
                <w:rFonts w:asciiTheme="majorHAnsi" w:hAnsiTheme="majorHAnsi" w:cstheme="majorHAnsi"/>
                <w:sz w:val="24"/>
                <w:szCs w:val="28"/>
                <w:lang w:val="pt-BR"/>
              </w:rPr>
              <w:lastRenderedPageBreak/>
              <w:t>implementarea Proiectului. Ulterior, în baza Deciziei CR Hîncești nr.01/01 din 20.01.2014 acest bloc (213,8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a fost transmis pentru reconstrucție UIP II pentru perioada implementării Proiectului.</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Se constată, însă, că suprafața interioară a apartamentelor reparate (4 apartamente)</w:t>
            </w:r>
            <w:r w:rsidRPr="002E105F">
              <w:rPr>
                <w:rStyle w:val="a7"/>
                <w:rFonts w:asciiTheme="majorHAnsi" w:hAnsiTheme="majorHAnsi" w:cstheme="majorHAnsi"/>
                <w:sz w:val="24"/>
                <w:szCs w:val="28"/>
              </w:rPr>
              <w:footnoteReference w:id="4"/>
            </w:r>
            <w:r w:rsidRPr="00B2345D">
              <w:rPr>
                <w:rFonts w:asciiTheme="majorHAnsi" w:hAnsiTheme="majorHAnsi" w:cstheme="majorHAnsi"/>
                <w:sz w:val="24"/>
                <w:szCs w:val="28"/>
                <w:lang w:val="pt-BR"/>
              </w:rPr>
              <w:t>, conform procesului-verbal de recepție finală nr. 56 din 08.07.2015, și transmise de UIP II către CR Hîncești, constituie 130,9 m</w:t>
            </w:r>
            <w:r w:rsidRPr="00B2345D">
              <w:rPr>
                <w:rFonts w:asciiTheme="majorHAnsi" w:hAnsiTheme="majorHAnsi" w:cstheme="majorHAnsi"/>
                <w:sz w:val="24"/>
                <w:szCs w:val="28"/>
                <w:vertAlign w:val="superscript"/>
                <w:lang w:val="pt-BR"/>
              </w:rPr>
              <w:t xml:space="preserve">2 </w:t>
            </w:r>
            <w:r w:rsidRPr="00B2345D">
              <w:rPr>
                <w:rFonts w:asciiTheme="majorHAnsi" w:hAnsiTheme="majorHAnsi" w:cstheme="majorHAnsi"/>
                <w:sz w:val="24"/>
                <w:szCs w:val="28"/>
                <w:lang w:val="pt-BR"/>
              </w:rPr>
              <w:t>(suprafața exterioară a clădirii la sol de 188,3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cu 82,9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xml:space="preserve"> mai puțin față de suprafața transmisă conform Deciziilor menționate</w:t>
            </w:r>
            <w:r w:rsidRPr="002E105F">
              <w:rPr>
                <w:rStyle w:val="a7"/>
                <w:rFonts w:asciiTheme="majorHAnsi" w:hAnsiTheme="majorHAnsi" w:cstheme="majorHAnsi"/>
                <w:sz w:val="24"/>
                <w:szCs w:val="28"/>
              </w:rPr>
              <w:footnoteReference w:id="5"/>
            </w:r>
            <w:r w:rsidRPr="00B2345D">
              <w:rPr>
                <w:rFonts w:asciiTheme="majorHAnsi" w:hAnsiTheme="majorHAnsi" w:cstheme="majorHAnsi"/>
                <w:sz w:val="24"/>
                <w:szCs w:val="28"/>
                <w:lang w:val="pt-BR"/>
              </w:rPr>
              <w:t>. Explicații și documente justificative a divergenților constatate auditului nu au fost prezentate.</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La verificările la fața locului din 24.01.2023</w:t>
            </w:r>
            <w:r>
              <w:rPr>
                <w:rStyle w:val="a7"/>
                <w:rFonts w:asciiTheme="majorHAnsi" w:hAnsiTheme="majorHAnsi" w:cstheme="majorHAnsi"/>
                <w:sz w:val="24"/>
                <w:szCs w:val="28"/>
              </w:rPr>
              <w:footnoteReference w:id="6"/>
            </w:r>
            <w:r w:rsidRPr="00B2345D">
              <w:rPr>
                <w:rFonts w:asciiTheme="majorHAnsi" w:hAnsiTheme="majorHAnsi" w:cstheme="majorHAnsi"/>
                <w:sz w:val="24"/>
                <w:szCs w:val="28"/>
                <w:lang w:val="pt-BR"/>
              </w:rPr>
              <w:t xml:space="preserve"> a lucrărilor executate, echipa de audit a avut acces doar la 3 apartamente din bloc din 4 apartamente reparate, deoarece la ultimul apartament a fost blocată intrarea. Conform explicațiilor persoanelor responsabile din cadrul CR Hîncești, acest apartament este utilizat de o persoana fizică care a extins construcția acestuia și a schimbat intrarea </w:t>
            </w:r>
            <w:r w:rsidRPr="00B2345D">
              <w:rPr>
                <w:rFonts w:asciiTheme="majorHAnsi" w:hAnsiTheme="majorHAnsi" w:cstheme="majorHAnsi"/>
                <w:i/>
                <w:sz w:val="24"/>
                <w:szCs w:val="28"/>
                <w:lang w:val="pt-BR"/>
              </w:rPr>
              <w:t>(pozele se anexează, Anexa nr.8)</w:t>
            </w:r>
            <w:r w:rsidRPr="00B2345D">
              <w:rPr>
                <w:rFonts w:asciiTheme="majorHAnsi" w:hAnsiTheme="majorHAnsi" w:cstheme="majorHAnsi"/>
                <w:sz w:val="24"/>
                <w:szCs w:val="28"/>
                <w:lang w:val="pt-BR"/>
              </w:rPr>
              <w:t xml:space="preserve">, motivând că a înregistrat dreptul de proprietate asupra acestui apartament în anul 2006. </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Examinând datele din RBI, s-a constatat că în cadrul clădirii din s. Sofia au fost înregistrate cu titlu de proprietate 5 locuințe cu suprafața de 164,8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inclusiv 4 de către CR Hîncești cu suprafața de 130,9 m.p.</w:t>
            </w:r>
            <w:r w:rsidRPr="00B2345D">
              <w:rPr>
                <w:rStyle w:val="a7"/>
                <w:rFonts w:asciiTheme="majorHAnsi" w:hAnsiTheme="majorHAnsi" w:cstheme="majorHAnsi"/>
                <w:sz w:val="24"/>
                <w:szCs w:val="28"/>
                <w:lang w:val="pt-BR"/>
              </w:rPr>
              <w:t xml:space="preserve"> </w:t>
            </w:r>
            <w:r>
              <w:rPr>
                <w:rStyle w:val="a7"/>
                <w:rFonts w:asciiTheme="majorHAnsi" w:hAnsiTheme="majorHAnsi" w:cstheme="majorHAnsi"/>
                <w:sz w:val="24"/>
                <w:szCs w:val="28"/>
              </w:rPr>
              <w:footnoteReference w:id="7"/>
            </w:r>
            <w:r w:rsidRPr="00B2345D">
              <w:rPr>
                <w:rFonts w:asciiTheme="majorHAnsi" w:hAnsiTheme="majorHAnsi" w:cstheme="majorHAnsi"/>
                <w:sz w:val="24"/>
                <w:szCs w:val="28"/>
                <w:lang w:val="pt-BR"/>
              </w:rPr>
              <w:t>, și o locuință cu suprafața de 33,9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xml:space="preserve"> de către o persoană fizică în anul 2006. </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Prin urmare, apartamentul cu suprafața de 31,7 m</w:t>
            </w:r>
            <w:r w:rsidRPr="00B2345D">
              <w:rPr>
                <w:rFonts w:asciiTheme="majorHAnsi" w:hAnsiTheme="majorHAnsi" w:cstheme="majorHAnsi"/>
                <w:sz w:val="24"/>
                <w:szCs w:val="28"/>
                <w:vertAlign w:val="superscript"/>
                <w:lang w:val="pt-BR"/>
              </w:rPr>
              <w:t>2</w:t>
            </w:r>
            <w:r w:rsidRPr="00B2345D">
              <w:rPr>
                <w:rFonts w:asciiTheme="majorHAnsi" w:hAnsiTheme="majorHAnsi" w:cstheme="majorHAnsi"/>
                <w:sz w:val="24"/>
                <w:szCs w:val="28"/>
                <w:lang w:val="pt-BR"/>
              </w:rPr>
              <w:t>, care conform RBI este proprietate a CR Hîncești, este utilizat abuziv.</w:t>
            </w:r>
          </w:p>
          <w:p w:rsidR="00B2345D" w:rsidRPr="00B2345D" w:rsidRDefault="00B2345D" w:rsidP="006B107A">
            <w:pPr>
              <w:spacing w:after="0" w:line="240" w:lineRule="auto"/>
              <w:contextualSpacing/>
              <w:jc w:val="both"/>
              <w:rPr>
                <w:rFonts w:asciiTheme="majorHAnsi" w:hAnsiTheme="majorHAnsi" w:cstheme="majorHAnsi"/>
                <w:sz w:val="24"/>
                <w:szCs w:val="28"/>
                <w:lang w:val="pt-BR"/>
              </w:rPr>
            </w:pPr>
            <w:r w:rsidRPr="00B2345D">
              <w:rPr>
                <w:rFonts w:asciiTheme="majorHAnsi" w:hAnsiTheme="majorHAnsi" w:cstheme="majorHAnsi"/>
                <w:i/>
                <w:sz w:val="24"/>
                <w:szCs w:val="28"/>
                <w:lang w:val="pt-BR"/>
              </w:rPr>
              <w:t xml:space="preserve">          </w:t>
            </w:r>
            <w:r w:rsidRPr="00B2345D">
              <w:rPr>
                <w:rFonts w:asciiTheme="majorHAnsi" w:hAnsiTheme="majorHAnsi" w:cstheme="majorHAnsi"/>
                <w:sz w:val="24"/>
                <w:szCs w:val="28"/>
                <w:lang w:val="pt-BR"/>
              </w:rPr>
              <w:t>Menționăm că cheltuielile estimate de către audit executate pentru reconstrucția apartamentului din contul Proiectului și ocupat de către persoana fizică au constituit circa 547,0 mii lei.</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În cadrul misiunii de audit, în prezența inginerului constructor din cadrul UIP, la verificarea volumelor executate la obiectivele din raionul Hîncești, s-a constatat recepționarea și achitarea antreprenorilor a unor lucrări de construcție neexecutate în sumă totală de 16,7 mii lei, inclusiv 9,2 mii lei la obiectivul din s. Bujor și 7,5 mii lei la obiectivul din s. Nemțeni.</w:t>
            </w:r>
          </w:p>
          <w:p w:rsidR="00B2345D" w:rsidRPr="00B2345D" w:rsidRDefault="00B2345D" w:rsidP="006B107A">
            <w:pPr>
              <w:spacing w:after="0" w:line="240" w:lineRule="auto"/>
              <w:ind w:firstLine="567"/>
              <w:contextualSpacing/>
              <w:jc w:val="both"/>
              <w:rPr>
                <w:rFonts w:asciiTheme="majorHAnsi" w:eastAsia="Times New Roman" w:hAnsiTheme="majorHAnsi" w:cstheme="majorHAnsi"/>
                <w:color w:val="000000"/>
                <w:sz w:val="20"/>
                <w:szCs w:val="20"/>
                <w:lang w:val="pt-BR"/>
              </w:rPr>
            </w:pPr>
            <w:r w:rsidRPr="00B2345D">
              <w:rPr>
                <w:rFonts w:asciiTheme="majorHAnsi" w:hAnsiTheme="majorHAnsi" w:cstheme="majorHAnsi"/>
                <w:sz w:val="24"/>
                <w:szCs w:val="28"/>
                <w:lang w:val="pt-BR"/>
              </w:rPr>
              <w:t>Totodată se menționează că la obiectivul din s. Nemțeni, radiatoarele din oțel electrice monobloc cu valoarea de 35,5 mii lei, incluse în procesul-verbal de recepție, au fost înlocuite cu încălzitoare electrice (convectoare) cu valoarea de 29,1 mii lei, sau cu 6,4 mii lei mai mică decât cele incluse în procesul verbal.</w:t>
            </w:r>
          </w:p>
        </w:tc>
      </w:tr>
      <w:tr w:rsidR="00B2345D" w:rsidRPr="00A83BC9" w:rsidTr="00B2345D">
        <w:trPr>
          <w:trHeight w:val="290"/>
        </w:trPr>
        <w:tc>
          <w:tcPr>
            <w:tcW w:w="472" w:type="dxa"/>
            <w:tcBorders>
              <w:top w:val="nil"/>
              <w:left w:val="single" w:sz="4" w:space="0" w:color="auto"/>
              <w:bottom w:val="single" w:sz="4" w:space="0" w:color="auto"/>
              <w:right w:val="single" w:sz="4" w:space="0" w:color="auto"/>
            </w:tcBorders>
            <w:shd w:val="clear" w:color="auto" w:fill="auto"/>
            <w:noWrap/>
          </w:tcPr>
          <w:p w:rsidR="00B2345D" w:rsidRPr="00B2345D" w:rsidRDefault="00B2345D" w:rsidP="006B107A">
            <w:pPr>
              <w:spacing w:after="0" w:line="240" w:lineRule="auto"/>
              <w:rPr>
                <w:rFonts w:asciiTheme="majorHAnsi" w:eastAsia="Times New Roman" w:hAnsiTheme="majorHAnsi" w:cstheme="majorHAnsi"/>
                <w:color w:val="000000"/>
                <w:sz w:val="20"/>
                <w:szCs w:val="20"/>
                <w:lang w:val="pt-BR"/>
              </w:rPr>
            </w:pPr>
          </w:p>
        </w:tc>
        <w:tc>
          <w:tcPr>
            <w:tcW w:w="3464" w:type="dxa"/>
            <w:tcBorders>
              <w:top w:val="nil"/>
              <w:left w:val="nil"/>
              <w:bottom w:val="single" w:sz="4" w:space="0" w:color="auto"/>
              <w:right w:val="single" w:sz="4" w:space="0" w:color="auto"/>
            </w:tcBorders>
            <w:shd w:val="clear" w:color="auto" w:fill="auto"/>
            <w:noWrap/>
          </w:tcPr>
          <w:p w:rsidR="00B2345D" w:rsidRPr="002834DA" w:rsidRDefault="00B2345D" w:rsidP="006B107A">
            <w:pPr>
              <w:spacing w:after="0" w:line="240" w:lineRule="auto"/>
              <w:rPr>
                <w:rFonts w:asciiTheme="majorHAnsi" w:eastAsia="Times New Roman" w:hAnsiTheme="majorHAnsi" w:cstheme="majorHAnsi"/>
                <w:b/>
                <w:color w:val="000000"/>
                <w:sz w:val="24"/>
                <w:szCs w:val="24"/>
              </w:rPr>
            </w:pPr>
            <w:r w:rsidRPr="002834DA">
              <w:rPr>
                <w:rFonts w:asciiTheme="majorHAnsi" w:eastAsia="Times New Roman" w:hAnsiTheme="majorHAnsi" w:cstheme="majorHAnsi"/>
                <w:b/>
                <w:color w:val="000000"/>
                <w:sz w:val="24"/>
                <w:szCs w:val="24"/>
              </w:rPr>
              <w:t xml:space="preserve">9. revizuirea listei beneficiarilor de locuințe sociale în strictă </w:t>
            </w:r>
            <w:r w:rsidRPr="002834DA">
              <w:rPr>
                <w:rFonts w:asciiTheme="majorHAnsi" w:eastAsia="Times New Roman" w:hAnsiTheme="majorHAnsi" w:cstheme="majorHAnsi"/>
                <w:b/>
                <w:color w:val="000000"/>
                <w:sz w:val="24"/>
                <w:szCs w:val="24"/>
              </w:rPr>
              <w:lastRenderedPageBreak/>
              <w:t>conformitate cu prevederile art.10 din Legea nr. 75 din 30.04.2015 cu privire la locuințe.</w:t>
            </w:r>
          </w:p>
        </w:tc>
        <w:tc>
          <w:tcPr>
            <w:tcW w:w="11481" w:type="dxa"/>
            <w:tcBorders>
              <w:top w:val="nil"/>
              <w:left w:val="nil"/>
              <w:bottom w:val="single" w:sz="4" w:space="0" w:color="auto"/>
              <w:right w:val="single" w:sz="4" w:space="0" w:color="auto"/>
            </w:tcBorders>
            <w:shd w:val="clear" w:color="auto" w:fill="auto"/>
            <w:noWrap/>
          </w:tcPr>
          <w:p w:rsidR="00B2345D" w:rsidRPr="00B2345D" w:rsidRDefault="00B2345D" w:rsidP="006B107A">
            <w:pPr>
              <w:spacing w:after="0" w:line="240" w:lineRule="auto"/>
              <w:ind w:firstLine="567"/>
              <w:jc w:val="both"/>
              <w:rPr>
                <w:rFonts w:asciiTheme="majorHAnsi" w:hAnsiTheme="majorHAnsi" w:cstheme="majorHAnsi"/>
                <w:i/>
                <w:sz w:val="24"/>
                <w:szCs w:val="24"/>
                <w:lang w:val="pt-BR"/>
              </w:rPr>
            </w:pPr>
            <w:r w:rsidRPr="00B2345D">
              <w:rPr>
                <w:rFonts w:asciiTheme="majorHAnsi" w:hAnsiTheme="majorHAnsi" w:cstheme="majorHAnsi"/>
                <w:i/>
                <w:sz w:val="24"/>
                <w:szCs w:val="24"/>
                <w:lang w:val="pt-BR"/>
              </w:rPr>
              <w:lastRenderedPageBreak/>
              <w:t>Analizând procesul de examinare, evaluare și repartizare a locuințelor sociale beneficiarilor în 11 de cazuri</w:t>
            </w:r>
            <w:r w:rsidRPr="00610B48">
              <w:rPr>
                <w:rStyle w:val="a7"/>
                <w:rFonts w:asciiTheme="majorHAnsi" w:hAnsiTheme="majorHAnsi" w:cstheme="majorHAnsi"/>
                <w:i/>
                <w:sz w:val="24"/>
                <w:szCs w:val="24"/>
              </w:rPr>
              <w:footnoteReference w:id="8"/>
            </w:r>
            <w:r w:rsidRPr="00B2345D">
              <w:rPr>
                <w:rFonts w:asciiTheme="majorHAnsi" w:hAnsiTheme="majorHAnsi" w:cstheme="majorHAnsi"/>
                <w:i/>
                <w:sz w:val="24"/>
                <w:szCs w:val="24"/>
                <w:lang w:val="pt-BR"/>
              </w:rPr>
              <w:t xml:space="preserve"> din cele 29 realizate</w:t>
            </w:r>
            <w:r w:rsidRPr="00610B48">
              <w:rPr>
                <w:rStyle w:val="a7"/>
                <w:rFonts w:asciiTheme="majorHAnsi" w:hAnsiTheme="majorHAnsi" w:cstheme="majorHAnsi"/>
                <w:i/>
                <w:sz w:val="24"/>
                <w:szCs w:val="24"/>
              </w:rPr>
              <w:footnoteReference w:id="9"/>
            </w:r>
            <w:r w:rsidRPr="00B2345D">
              <w:rPr>
                <w:rFonts w:asciiTheme="majorHAnsi" w:hAnsiTheme="majorHAnsi" w:cstheme="majorHAnsi"/>
                <w:i/>
                <w:sz w:val="24"/>
                <w:szCs w:val="24"/>
                <w:lang w:val="pt-BR"/>
              </w:rPr>
              <w:t>, auditul atestă că acesta s-a executat în unele cazuri cu abateri de la cadrul legal:</w:t>
            </w:r>
          </w:p>
          <w:p w:rsidR="00B2345D" w:rsidRPr="002834DA" w:rsidRDefault="00B2345D" w:rsidP="006B107A">
            <w:pPr>
              <w:spacing w:after="0" w:line="240" w:lineRule="auto"/>
              <w:ind w:firstLine="567"/>
              <w:jc w:val="both"/>
              <w:rPr>
                <w:rFonts w:asciiTheme="majorHAnsi" w:hAnsiTheme="majorHAnsi" w:cstheme="majorHAnsi"/>
                <w:sz w:val="24"/>
                <w:szCs w:val="24"/>
              </w:rPr>
            </w:pPr>
            <w:r w:rsidRPr="002834DA">
              <w:rPr>
                <w:rFonts w:asciiTheme="majorHAnsi" w:hAnsiTheme="majorHAnsi" w:cstheme="majorHAnsi"/>
                <w:sz w:val="24"/>
                <w:szCs w:val="24"/>
              </w:rPr>
              <w:lastRenderedPageBreak/>
              <w:t>Examinând informațiile prezentate, se constatată că cotele procentuale la repartizarea locuințelor pe categorii stabilite prin Regulamentul al CR Hîncești nu  corespund cu cele stabilite prin prevederile pct. 20 din Ordinul nr.75 din 14.05.2014</w:t>
            </w:r>
            <w:r w:rsidRPr="002834DA">
              <w:rPr>
                <w:rStyle w:val="a7"/>
                <w:rFonts w:asciiTheme="majorHAnsi" w:hAnsiTheme="majorHAnsi" w:cstheme="majorHAnsi"/>
                <w:sz w:val="24"/>
                <w:szCs w:val="24"/>
              </w:rPr>
              <w:footnoteReference w:id="10"/>
            </w:r>
            <w:r w:rsidRPr="002834DA">
              <w:rPr>
                <w:rFonts w:asciiTheme="majorHAnsi" w:hAnsiTheme="majorHAnsi" w:cstheme="majorHAnsi"/>
                <w:sz w:val="24"/>
                <w:szCs w:val="24"/>
              </w:rPr>
              <w:t>.</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Theme="majorHAnsi" w:hAnsiTheme="majorHAnsi" w:cstheme="majorHAnsi"/>
                <w:sz w:val="24"/>
                <w:szCs w:val="24"/>
                <w:lang w:val="pt-BR"/>
              </w:rPr>
              <w:t>Deci, la momentul desfășurării auditului, din numărul total de 56 apartamente, prevăzute conform Acordului-cadru, au fost repartizate 32 apartamente, nerepartizate – 24, din care  netransmise de UIP II către CR Hîncești – 14.</w:t>
            </w:r>
          </w:p>
          <w:p w:rsidR="00B2345D" w:rsidRPr="00B2345D" w:rsidRDefault="00B2345D" w:rsidP="006B107A">
            <w:pPr>
              <w:spacing w:after="0" w:line="240" w:lineRule="auto"/>
              <w:jc w:val="both"/>
              <w:rPr>
                <w:rFonts w:asciiTheme="majorHAnsi" w:hAnsiTheme="majorHAnsi" w:cstheme="majorHAnsi"/>
                <w:sz w:val="24"/>
                <w:szCs w:val="24"/>
                <w:lang w:val="pt-BR"/>
              </w:rPr>
            </w:pPr>
            <w:r w:rsidRPr="00B2345D">
              <w:rPr>
                <w:rFonts w:asciiTheme="majorHAnsi" w:hAnsiTheme="majorHAnsi" w:cstheme="majorHAnsi"/>
                <w:sz w:val="24"/>
                <w:szCs w:val="24"/>
                <w:lang w:val="pt-BR"/>
              </w:rPr>
              <w:t>-  Astfel, din cele 56 de apartamente sociale, Comisia din cadrul CR Hîncești a repartizat 32 de apartamente (s-au 60,0 %) următoarelor categorii de beneficiari:</w:t>
            </w:r>
          </w:p>
          <w:p w:rsidR="00B2345D" w:rsidRPr="00B2345D" w:rsidRDefault="00B2345D" w:rsidP="006B107A">
            <w:pPr>
              <w:spacing w:after="0" w:line="240" w:lineRule="auto"/>
              <w:ind w:firstLine="567"/>
              <w:jc w:val="both"/>
              <w:rPr>
                <w:rFonts w:ascii="Calibri Light" w:eastAsia="Times New Roman" w:hAnsi="Calibri Light" w:cs="Calibri Light"/>
                <w:color w:val="000000"/>
                <w:sz w:val="24"/>
                <w:szCs w:val="24"/>
                <w:lang w:val="pt-BR"/>
              </w:rPr>
            </w:pPr>
            <w:r w:rsidRPr="00B2345D">
              <w:rPr>
                <w:rFonts w:ascii="Calibri Light" w:eastAsia="Times New Roman" w:hAnsi="Calibri Light" w:cs="Calibri Light"/>
                <w:i/>
                <w:color w:val="000000"/>
                <w:sz w:val="24"/>
                <w:szCs w:val="24"/>
                <w:lang w:val="pt-BR"/>
              </w:rPr>
              <w:t>Categoria I</w:t>
            </w:r>
            <w:r w:rsidRPr="00B2345D">
              <w:rPr>
                <w:rFonts w:ascii="Calibri Light" w:eastAsia="Times New Roman" w:hAnsi="Calibri Light" w:cs="Calibri Light"/>
                <w:color w:val="000000"/>
                <w:sz w:val="24"/>
                <w:szCs w:val="24"/>
                <w:lang w:val="pt-BR"/>
              </w:rPr>
              <w:t xml:space="preserve"> - Familiile, în care cel puţin unul dintre membrii familiei este angajat al unei instituţii sau autorității publica locale din teritoriul raionului Hîncești sau persoane angajate ale entităților numite, conform priorității ce urmează: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color w:val="000000"/>
                <w:sz w:val="24"/>
                <w:szCs w:val="24"/>
                <w:lang w:val="pt-BR"/>
              </w:rPr>
              <w:t xml:space="preserve">- sănătate </w:t>
            </w:r>
            <w:r w:rsidRPr="00B2345D">
              <w:rPr>
                <w:rFonts w:asciiTheme="majorHAnsi" w:hAnsiTheme="majorHAnsi" w:cstheme="majorHAnsi"/>
                <w:sz w:val="24"/>
                <w:szCs w:val="24"/>
                <w:lang w:val="pt-BR"/>
              </w:rPr>
              <w:t>–   13  apartamente sau – 25,0 % față de numărul total de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color w:val="000000"/>
                <w:sz w:val="24"/>
                <w:szCs w:val="24"/>
                <w:lang w:val="pt-BR"/>
              </w:rPr>
              <w:t xml:space="preserve">-  educație </w:t>
            </w:r>
            <w:r w:rsidRPr="00B2345D">
              <w:rPr>
                <w:rFonts w:asciiTheme="majorHAnsi" w:hAnsiTheme="majorHAnsi" w:cstheme="majorHAnsi"/>
                <w:sz w:val="24"/>
                <w:szCs w:val="24"/>
                <w:lang w:val="pt-BR"/>
              </w:rPr>
              <w:t>–    11 apartamente sau 19,6 % față de numărul total de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color w:val="000000"/>
                <w:sz w:val="24"/>
                <w:szCs w:val="24"/>
                <w:lang w:val="pt-BR"/>
              </w:rPr>
              <w:t xml:space="preserve">-  protecția socială </w:t>
            </w:r>
            <w:r w:rsidRPr="00B2345D">
              <w:rPr>
                <w:rFonts w:asciiTheme="majorHAnsi" w:hAnsiTheme="majorHAnsi" w:cstheme="majorHAnsi"/>
                <w:sz w:val="24"/>
                <w:szCs w:val="24"/>
                <w:lang w:val="pt-BR"/>
              </w:rPr>
              <w:t>–  0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color w:val="000000"/>
                <w:sz w:val="24"/>
                <w:szCs w:val="24"/>
                <w:lang w:val="pt-BR"/>
              </w:rPr>
              <w:t xml:space="preserve">-  ordinea publică (organele de poliție) </w:t>
            </w:r>
            <w:r w:rsidRPr="00B2345D">
              <w:rPr>
                <w:rFonts w:asciiTheme="majorHAnsi" w:hAnsiTheme="majorHAnsi" w:cstheme="majorHAnsi"/>
                <w:sz w:val="24"/>
                <w:szCs w:val="24"/>
                <w:lang w:val="pt-BR"/>
              </w:rPr>
              <w:t>– 5 apartamente sau 8,9 % față de numărul total de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i/>
                <w:color w:val="000000"/>
                <w:sz w:val="24"/>
                <w:szCs w:val="24"/>
                <w:lang w:val="pt-BR"/>
              </w:rPr>
              <w:t>Categoria II</w:t>
            </w:r>
            <w:r w:rsidRPr="00B2345D">
              <w:rPr>
                <w:rFonts w:ascii="Calibri Light" w:eastAsia="Times New Roman" w:hAnsi="Calibri Light" w:cs="Calibri Light"/>
                <w:color w:val="000000"/>
                <w:sz w:val="24"/>
                <w:szCs w:val="24"/>
                <w:lang w:val="pt-BR"/>
              </w:rPr>
              <w:t xml:space="preserve"> - Familiile cu cel puţin 3 copii minori, familiile cu un singur părinte care cresc cel puţin 2 copii minori </w:t>
            </w:r>
            <w:r w:rsidRPr="00B2345D">
              <w:rPr>
                <w:rFonts w:asciiTheme="majorHAnsi" w:hAnsiTheme="majorHAnsi" w:cstheme="majorHAnsi"/>
                <w:sz w:val="24"/>
                <w:szCs w:val="24"/>
                <w:lang w:val="pt-BR"/>
              </w:rPr>
              <w:t>– 2 –     apartamente sau 3,6 % față de numărul total de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i/>
                <w:color w:val="000000"/>
                <w:sz w:val="24"/>
                <w:szCs w:val="24"/>
                <w:lang w:val="pt-BR"/>
              </w:rPr>
              <w:t>Categoria III</w:t>
            </w:r>
            <w:r w:rsidRPr="00B2345D">
              <w:rPr>
                <w:rFonts w:ascii="Calibri Light" w:eastAsia="Times New Roman" w:hAnsi="Calibri Light" w:cs="Calibri Light"/>
                <w:color w:val="000000"/>
                <w:sz w:val="24"/>
                <w:szCs w:val="24"/>
                <w:lang w:val="pt-BR"/>
              </w:rPr>
              <w:t xml:space="preserve"> - Familiile sau persoanele care întreţin copii cu dizabilităţi severe </w:t>
            </w:r>
            <w:r w:rsidRPr="00B2345D">
              <w:rPr>
                <w:rFonts w:asciiTheme="majorHAnsi" w:hAnsiTheme="majorHAnsi" w:cstheme="majorHAnsi"/>
                <w:sz w:val="24"/>
                <w:szCs w:val="24"/>
                <w:lang w:val="pt-BR"/>
              </w:rPr>
              <w:t>– 0  apartamente;</w:t>
            </w:r>
            <w:r w:rsidRPr="00B2345D">
              <w:rPr>
                <w:rFonts w:ascii="Calibri Light" w:eastAsia="Times New Roman" w:hAnsi="Calibri Light" w:cs="Calibri Light"/>
                <w:color w:val="000000"/>
                <w:sz w:val="24"/>
                <w:szCs w:val="24"/>
                <w:lang w:val="pt-BR"/>
              </w:rPr>
              <w:t xml:space="preserve"> </w:t>
            </w:r>
          </w:p>
          <w:p w:rsidR="00B2345D" w:rsidRPr="00B2345D" w:rsidRDefault="00B2345D" w:rsidP="006B107A">
            <w:pPr>
              <w:spacing w:after="0" w:line="240" w:lineRule="auto"/>
              <w:ind w:firstLine="567"/>
              <w:jc w:val="both"/>
              <w:rPr>
                <w:rFonts w:ascii="Calibri Light" w:eastAsia="Times New Roman" w:hAnsi="Calibri Light" w:cs="Calibri Light"/>
                <w:color w:val="000000"/>
                <w:sz w:val="24"/>
                <w:szCs w:val="24"/>
                <w:lang w:val="pt-BR"/>
              </w:rPr>
            </w:pPr>
            <w:r w:rsidRPr="00B2345D">
              <w:rPr>
                <w:rFonts w:ascii="Calibri Light" w:eastAsia="Times New Roman" w:hAnsi="Calibri Light" w:cs="Calibri Light"/>
                <w:i/>
                <w:color w:val="000000"/>
                <w:sz w:val="24"/>
                <w:szCs w:val="24"/>
                <w:lang w:val="pt-BR"/>
              </w:rPr>
              <w:t>Categoria IV</w:t>
            </w:r>
            <w:r w:rsidRPr="00B2345D">
              <w:rPr>
                <w:rFonts w:ascii="Calibri Light" w:eastAsia="Times New Roman" w:hAnsi="Calibri Light" w:cs="Calibri Light"/>
                <w:color w:val="000000"/>
                <w:sz w:val="24"/>
                <w:szCs w:val="24"/>
                <w:lang w:val="pt-BR"/>
              </w:rPr>
              <w:t xml:space="preserve"> - Persoane dezinstituționalizate (orfani cu vîrsta cuprinsă între 18 şi 21 ani) </w:t>
            </w:r>
            <w:r w:rsidRPr="00B2345D">
              <w:rPr>
                <w:rFonts w:asciiTheme="majorHAnsi" w:hAnsiTheme="majorHAnsi" w:cstheme="majorHAnsi"/>
                <w:sz w:val="24"/>
                <w:szCs w:val="24"/>
                <w:lang w:val="pt-BR"/>
              </w:rPr>
              <w:t>– 1 apartament;</w:t>
            </w:r>
          </w:p>
          <w:p w:rsidR="00B2345D" w:rsidRPr="00B2345D" w:rsidRDefault="00B2345D" w:rsidP="006B107A">
            <w:pPr>
              <w:spacing w:after="0" w:line="240" w:lineRule="auto"/>
              <w:ind w:firstLine="567"/>
              <w:jc w:val="both"/>
              <w:rPr>
                <w:rFonts w:ascii="Calibri Light" w:eastAsia="Times New Roman" w:hAnsi="Calibri Light" w:cs="Calibri Light"/>
                <w:color w:val="000000"/>
                <w:sz w:val="24"/>
                <w:szCs w:val="24"/>
                <w:lang w:val="pt-BR"/>
              </w:rPr>
            </w:pPr>
            <w:r w:rsidRPr="00B2345D">
              <w:rPr>
                <w:rFonts w:ascii="Calibri Light" w:eastAsia="Times New Roman" w:hAnsi="Calibri Light" w:cs="Calibri Light"/>
                <w:color w:val="000000"/>
                <w:sz w:val="24"/>
                <w:szCs w:val="24"/>
                <w:lang w:val="pt-BR"/>
              </w:rPr>
              <w:t xml:space="preserve"> </w:t>
            </w:r>
            <w:r w:rsidRPr="00B2345D">
              <w:rPr>
                <w:rFonts w:ascii="Calibri Light" w:eastAsia="Times New Roman" w:hAnsi="Calibri Light" w:cs="Calibri Light"/>
                <w:i/>
                <w:color w:val="000000"/>
                <w:sz w:val="24"/>
                <w:szCs w:val="24"/>
                <w:lang w:val="pt-BR"/>
              </w:rPr>
              <w:t>Categoria V</w:t>
            </w:r>
            <w:r w:rsidRPr="00B2345D">
              <w:rPr>
                <w:rFonts w:ascii="Calibri Light" w:eastAsia="Times New Roman" w:hAnsi="Calibri Light" w:cs="Calibri Light"/>
                <w:color w:val="000000"/>
                <w:sz w:val="24"/>
                <w:szCs w:val="24"/>
                <w:lang w:val="pt-BR"/>
              </w:rPr>
              <w:t xml:space="preserve"> -  Persoane cu dizabilități severe </w:t>
            </w:r>
            <w:r w:rsidRPr="00B2345D">
              <w:rPr>
                <w:rFonts w:asciiTheme="majorHAnsi" w:hAnsiTheme="majorHAnsi" w:cstheme="majorHAnsi"/>
                <w:sz w:val="24"/>
                <w:szCs w:val="24"/>
                <w:lang w:val="pt-BR"/>
              </w:rPr>
              <w:t>– 0 apartamente</w:t>
            </w:r>
            <w:r w:rsidRPr="00B2345D">
              <w:rPr>
                <w:rFonts w:ascii="Calibri Light" w:eastAsia="Times New Roman" w:hAnsi="Calibri Light" w:cs="Calibri Light"/>
                <w:color w:val="000000"/>
                <w:sz w:val="24"/>
                <w:szCs w:val="24"/>
                <w:lang w:val="pt-BR"/>
              </w:rPr>
              <w:t>;</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Calibri Light" w:eastAsia="Times New Roman" w:hAnsi="Calibri Light" w:cs="Calibri Light"/>
                <w:color w:val="000000"/>
                <w:sz w:val="24"/>
                <w:szCs w:val="24"/>
                <w:lang w:val="pt-BR"/>
              </w:rPr>
              <w:t xml:space="preserve"> </w:t>
            </w:r>
            <w:r w:rsidRPr="00B2345D">
              <w:rPr>
                <w:rFonts w:ascii="Calibri Light" w:eastAsia="Times New Roman" w:hAnsi="Calibri Light" w:cs="Calibri Light"/>
                <w:i/>
                <w:color w:val="000000"/>
                <w:sz w:val="24"/>
                <w:szCs w:val="24"/>
                <w:lang w:val="pt-BR"/>
              </w:rPr>
              <w:t>Categoria VI</w:t>
            </w:r>
            <w:r w:rsidRPr="00B2345D">
              <w:rPr>
                <w:rFonts w:ascii="Calibri Light" w:eastAsia="Times New Roman" w:hAnsi="Calibri Light" w:cs="Calibri Light"/>
                <w:color w:val="000000"/>
                <w:sz w:val="24"/>
                <w:szCs w:val="24"/>
                <w:lang w:val="pt-BR"/>
              </w:rPr>
              <w:t xml:space="preserve"> -  Familiile tinere - </w:t>
            </w:r>
            <w:r w:rsidRPr="00B2345D">
              <w:rPr>
                <w:rFonts w:asciiTheme="majorHAnsi" w:hAnsiTheme="majorHAnsi" w:cstheme="majorHAnsi"/>
                <w:sz w:val="24"/>
                <w:szCs w:val="24"/>
                <w:lang w:val="pt-BR"/>
              </w:rPr>
              <w:t>1 apartament.</w:t>
            </w:r>
          </w:p>
          <w:p w:rsidR="00B2345D" w:rsidRPr="00B2345D" w:rsidRDefault="00B2345D" w:rsidP="006B107A">
            <w:pPr>
              <w:spacing w:after="0" w:line="240" w:lineRule="auto"/>
              <w:ind w:firstLine="567"/>
              <w:jc w:val="both"/>
              <w:rPr>
                <w:rFonts w:asciiTheme="majorHAnsi" w:hAnsiTheme="majorHAnsi" w:cstheme="majorHAnsi"/>
                <w:sz w:val="24"/>
                <w:szCs w:val="24"/>
                <w:lang w:val="pt-BR"/>
              </w:rPr>
            </w:pPr>
            <w:r w:rsidRPr="00B2345D">
              <w:rPr>
                <w:rFonts w:asciiTheme="majorHAnsi" w:hAnsiTheme="majorHAnsi" w:cstheme="majorHAnsi"/>
                <w:sz w:val="24"/>
                <w:szCs w:val="24"/>
                <w:lang w:val="pt-BR"/>
              </w:rPr>
              <w:t>Echipa de audit a  identificat următoarele cazuri necorespunzătoare acordării locuințelor sociale:</w:t>
            </w:r>
          </w:p>
          <w:p w:rsidR="00B2345D" w:rsidRPr="002834DA" w:rsidRDefault="00B2345D" w:rsidP="006B107A">
            <w:pPr>
              <w:spacing w:after="0" w:line="240" w:lineRule="auto"/>
              <w:jc w:val="both"/>
              <w:rPr>
                <w:rFonts w:asciiTheme="majorHAnsi" w:hAnsiTheme="majorHAnsi" w:cstheme="majorHAnsi"/>
                <w:sz w:val="24"/>
                <w:szCs w:val="24"/>
              </w:rPr>
            </w:pPr>
            <w:r w:rsidRPr="00B2345D">
              <w:rPr>
                <w:rFonts w:asciiTheme="majorHAnsi" w:hAnsiTheme="majorHAnsi" w:cstheme="majorHAnsi"/>
                <w:sz w:val="24"/>
                <w:szCs w:val="24"/>
                <w:lang w:val="pt-BR"/>
              </w:rPr>
              <w:t xml:space="preserve"> </w:t>
            </w:r>
            <w:r>
              <w:rPr>
                <w:rFonts w:asciiTheme="majorHAnsi" w:hAnsiTheme="majorHAnsi" w:cstheme="majorHAnsi"/>
                <w:sz w:val="24"/>
                <w:szCs w:val="24"/>
              </w:rPr>
              <w:t xml:space="preserve">-  </w:t>
            </w:r>
            <w:r w:rsidRPr="002834DA">
              <w:rPr>
                <w:rFonts w:asciiTheme="majorHAnsi" w:hAnsiTheme="majorHAnsi" w:cstheme="majorHAnsi"/>
                <w:i/>
                <w:sz w:val="24"/>
                <w:szCs w:val="24"/>
              </w:rPr>
              <w:t>Stabilirea categoriei beneficiarului</w:t>
            </w:r>
            <w:r w:rsidRPr="002834DA">
              <w:rPr>
                <w:rFonts w:asciiTheme="majorHAnsi" w:hAnsiTheme="majorHAnsi" w:cstheme="majorHAnsi"/>
                <w:sz w:val="24"/>
                <w:szCs w:val="24"/>
              </w:rPr>
              <w:t>:</w:t>
            </w:r>
          </w:p>
          <w:p w:rsidR="00B2345D" w:rsidRPr="00B2345D" w:rsidRDefault="00B2345D" w:rsidP="006B107A">
            <w:pPr>
              <w:spacing w:after="0" w:line="240" w:lineRule="auto"/>
              <w:jc w:val="both"/>
              <w:rPr>
                <w:rFonts w:asciiTheme="majorHAnsi" w:hAnsiTheme="majorHAnsi" w:cstheme="majorHAnsi"/>
                <w:sz w:val="24"/>
                <w:szCs w:val="24"/>
                <w:lang w:val="pt-BR"/>
              </w:rPr>
            </w:pPr>
            <w:r w:rsidRPr="00642EF2">
              <w:rPr>
                <w:rFonts w:asciiTheme="majorHAnsi" w:hAnsiTheme="majorHAnsi" w:cstheme="majorHAnsi"/>
                <w:sz w:val="24"/>
                <w:szCs w:val="24"/>
              </w:rPr>
              <w:t xml:space="preserve">1) angajatului IP </w:t>
            </w:r>
            <w:proofErr w:type="gramStart"/>
            <w:r w:rsidRPr="00642EF2">
              <w:rPr>
                <w:rFonts w:asciiTheme="majorHAnsi" w:hAnsiTheme="majorHAnsi" w:cstheme="majorHAnsi"/>
                <w:sz w:val="24"/>
                <w:szCs w:val="24"/>
              </w:rPr>
              <w:t>Hîncești  s</w:t>
            </w:r>
            <w:proofErr w:type="gramEnd"/>
            <w:r w:rsidRPr="00642EF2">
              <w:rPr>
                <w:rFonts w:asciiTheme="majorHAnsi" w:hAnsiTheme="majorHAnsi" w:cstheme="majorHAnsi"/>
                <w:sz w:val="24"/>
                <w:szCs w:val="24"/>
              </w:rPr>
              <w:t xml:space="preserve">-a stabilit cat. I lit. A - din domeniu „sănătate”, efectiv persoanei urma să fie acordată cat. </w:t>
            </w:r>
            <w:r w:rsidRPr="00B2345D">
              <w:rPr>
                <w:rFonts w:asciiTheme="majorHAnsi" w:hAnsiTheme="majorHAnsi" w:cstheme="majorHAnsi"/>
                <w:sz w:val="24"/>
                <w:szCs w:val="24"/>
                <w:lang w:val="pt-BR"/>
              </w:rPr>
              <w:t xml:space="preserve">I lit. D - din domeniu „ordinea publică (organele de poliție)”;   </w:t>
            </w:r>
          </w:p>
          <w:p w:rsidR="00B2345D" w:rsidRPr="00642EF2" w:rsidRDefault="00B2345D" w:rsidP="006B107A">
            <w:pPr>
              <w:spacing w:after="0" w:line="240" w:lineRule="auto"/>
              <w:jc w:val="both"/>
              <w:rPr>
                <w:rFonts w:asciiTheme="majorHAnsi" w:hAnsiTheme="majorHAnsi" w:cstheme="majorHAnsi"/>
                <w:sz w:val="24"/>
                <w:szCs w:val="24"/>
              </w:rPr>
            </w:pPr>
            <w:r w:rsidRPr="00B2345D">
              <w:rPr>
                <w:rFonts w:asciiTheme="majorHAnsi" w:hAnsiTheme="majorHAnsi" w:cstheme="majorHAnsi"/>
                <w:sz w:val="24"/>
                <w:szCs w:val="24"/>
                <w:lang w:val="pt-BR"/>
              </w:rPr>
              <w:t xml:space="preserve">2) angajatului IMSP Spitalul Cărpineni a stabilit cat. I lit. D - din domeniu „ordinea publică (organele de poliție)”, efectiv persoanei urma să fie acordată cat. </w:t>
            </w:r>
            <w:r w:rsidRPr="00642EF2">
              <w:rPr>
                <w:rFonts w:asciiTheme="majorHAnsi" w:hAnsiTheme="majorHAnsi" w:cstheme="majorHAnsi"/>
                <w:sz w:val="24"/>
                <w:szCs w:val="24"/>
              </w:rPr>
              <w:t>I lit. A - din domeniu „sănătate;</w:t>
            </w:r>
          </w:p>
          <w:p w:rsidR="00B2345D" w:rsidRPr="00642EF2" w:rsidRDefault="00B2345D" w:rsidP="006B107A">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642EF2">
              <w:rPr>
                <w:rFonts w:asciiTheme="majorHAnsi" w:hAnsiTheme="majorHAnsi" w:cstheme="majorHAnsi"/>
                <w:sz w:val="24"/>
                <w:szCs w:val="24"/>
              </w:rPr>
              <w:t xml:space="preserve">3) angajatului DGF CR </w:t>
            </w:r>
            <w:proofErr w:type="gramStart"/>
            <w:r w:rsidRPr="00642EF2">
              <w:rPr>
                <w:rFonts w:asciiTheme="majorHAnsi" w:hAnsiTheme="majorHAnsi" w:cstheme="majorHAnsi"/>
                <w:sz w:val="24"/>
                <w:szCs w:val="24"/>
              </w:rPr>
              <w:t>Hîncești  a</w:t>
            </w:r>
            <w:proofErr w:type="gramEnd"/>
            <w:r w:rsidRPr="00642EF2">
              <w:rPr>
                <w:rFonts w:asciiTheme="majorHAnsi" w:hAnsiTheme="majorHAnsi" w:cstheme="majorHAnsi"/>
                <w:sz w:val="24"/>
                <w:szCs w:val="24"/>
              </w:rPr>
              <w:t xml:space="preserve"> stabilit cat. I lit. </w:t>
            </w:r>
            <w:r w:rsidRPr="00B2345D">
              <w:rPr>
                <w:rFonts w:asciiTheme="majorHAnsi" w:hAnsiTheme="majorHAnsi" w:cstheme="majorHAnsi"/>
                <w:sz w:val="24"/>
                <w:szCs w:val="24"/>
                <w:lang w:val="pt-BR"/>
              </w:rPr>
              <w:t xml:space="preserve">D - din domeniu „ordinea publică (organele de poliție)”, efectiv persoanei urma să fie acordată cat. </w:t>
            </w:r>
            <w:r w:rsidRPr="00642EF2">
              <w:rPr>
                <w:rFonts w:asciiTheme="majorHAnsi" w:hAnsiTheme="majorHAnsi" w:cstheme="majorHAnsi"/>
                <w:sz w:val="24"/>
                <w:szCs w:val="24"/>
              </w:rPr>
              <w:t>VI  „Categoria VI - Familiile tinere”;</w:t>
            </w:r>
          </w:p>
          <w:p w:rsidR="00B2345D" w:rsidRPr="00B2345D" w:rsidRDefault="00B2345D" w:rsidP="006B107A">
            <w:pPr>
              <w:spacing w:after="0" w:line="240" w:lineRule="auto"/>
              <w:jc w:val="both"/>
              <w:rPr>
                <w:rFonts w:asciiTheme="majorHAnsi" w:hAnsiTheme="majorHAnsi" w:cstheme="majorHAnsi"/>
                <w:sz w:val="24"/>
                <w:szCs w:val="24"/>
                <w:lang w:val="pt-BR"/>
              </w:rPr>
            </w:pPr>
            <w:r w:rsidRPr="00B2345D">
              <w:rPr>
                <w:rFonts w:asciiTheme="majorHAnsi" w:hAnsiTheme="majorHAnsi" w:cstheme="majorHAnsi"/>
                <w:sz w:val="24"/>
                <w:szCs w:val="24"/>
                <w:lang w:val="pt-BR"/>
              </w:rPr>
              <w:t>4) angajatului „Serviciului de asistența socială” a stabilit cat. I lit. A - din domeniu „sănătate”, efectiv persoanei urma să fie acordată cat. I lit. C - din domeniu „Protecția socială”.</w:t>
            </w:r>
          </w:p>
          <w:p w:rsidR="00B2345D" w:rsidRPr="00B2345D" w:rsidRDefault="00B2345D" w:rsidP="006B107A">
            <w:pPr>
              <w:spacing w:after="0" w:line="240" w:lineRule="auto"/>
              <w:ind w:firstLine="567"/>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lastRenderedPageBreak/>
              <w:t>Se relevă că din cele 32 de locuințe repartizate, 28 au fost repartizate beneficiarilor din categoria I (A) al Regulamentului local – „Familiile, în care cel puțin unul dintre membrii familiei este angajat al unei instituții sau autorități publice locale din teritoriul raionului Hîncești” (domeniul sănătății – 12, educației – 11, ordinea publică – 5), și numai 4 locuințe au fost repartizate persoanelor social-vulnerabile.</w:t>
            </w:r>
          </w:p>
          <w:p w:rsidR="00B2345D" w:rsidRPr="00B2345D" w:rsidRDefault="00B2345D" w:rsidP="006B107A">
            <w:pPr>
              <w:spacing w:after="0" w:line="240" w:lineRule="auto"/>
              <w:ind w:firstLine="567"/>
              <w:jc w:val="both"/>
              <w:rPr>
                <w:rFonts w:asciiTheme="majorHAnsi" w:hAnsiTheme="majorHAnsi"/>
                <w:i/>
                <w:sz w:val="24"/>
                <w:lang w:val="pt-BR"/>
              </w:rPr>
            </w:pPr>
            <w:r w:rsidRPr="00B2345D">
              <w:rPr>
                <w:rFonts w:asciiTheme="majorHAnsi" w:hAnsiTheme="majorHAnsi"/>
                <w:i/>
                <w:sz w:val="24"/>
                <w:lang w:val="pt-BR"/>
              </w:rPr>
              <w:t>Probele de audit colectate denotă că</w:t>
            </w:r>
            <w:r w:rsidRPr="00B2345D">
              <w:rPr>
                <w:i/>
                <w:lang w:val="pt-BR"/>
              </w:rPr>
              <w:t xml:space="preserve"> </w:t>
            </w:r>
            <w:r w:rsidRPr="00B2345D">
              <w:rPr>
                <w:rFonts w:asciiTheme="majorHAnsi" w:hAnsiTheme="majorHAnsi"/>
                <w:i/>
                <w:sz w:val="24"/>
                <w:lang w:val="pt-BR"/>
              </w:rPr>
              <w:t>la repartizarea locuințelor sociale, nu au respectat în unele cazuri prevederile cadrului normativ, în final beneficiind de locuințe sociale persoane neeligibile, care au venituri salariale peste limita stabilită legal, precum și dețin bunuri imobiliare.</w:t>
            </w:r>
          </w:p>
          <w:p w:rsidR="00B2345D" w:rsidRPr="00B2345D" w:rsidRDefault="00B2345D" w:rsidP="006B107A">
            <w:pPr>
              <w:pStyle w:val="a3"/>
              <w:numPr>
                <w:ilvl w:val="0"/>
                <w:numId w:val="4"/>
              </w:numPr>
              <w:spacing w:after="0" w:line="240" w:lineRule="auto"/>
              <w:ind w:left="0" w:firstLine="0"/>
              <w:jc w:val="both"/>
              <w:rPr>
                <w:rFonts w:asciiTheme="majorHAnsi" w:hAnsiTheme="majorHAnsi" w:cstheme="majorHAnsi"/>
                <w:sz w:val="24"/>
                <w:szCs w:val="24"/>
                <w:lang w:val="pt-BR"/>
              </w:rPr>
            </w:pPr>
            <w:r w:rsidRPr="00B2345D">
              <w:rPr>
                <w:rFonts w:asciiTheme="majorHAnsi" w:eastAsia="Times New Roman" w:hAnsiTheme="majorHAnsi" w:cstheme="majorHAnsi"/>
                <w:bCs/>
                <w:color w:val="000000"/>
                <w:sz w:val="24"/>
                <w:szCs w:val="24"/>
                <w:lang w:val="pt-BR"/>
              </w:rPr>
              <w:t xml:space="preserve">Astfel, conform prevederilor pct.4, subpct.1 din </w:t>
            </w:r>
            <w:r w:rsidRPr="00B2345D">
              <w:rPr>
                <w:rFonts w:asciiTheme="majorHAnsi" w:hAnsiTheme="majorHAnsi" w:cstheme="majorHAnsi"/>
                <w:sz w:val="24"/>
                <w:szCs w:val="24"/>
                <w:lang w:val="pt-BR"/>
              </w:rPr>
              <w:t>Regulamentul aprobat prin</w:t>
            </w:r>
            <w:r w:rsidRPr="00B2345D">
              <w:rPr>
                <w:rFonts w:asciiTheme="majorHAnsi" w:eastAsia="Times New Roman" w:hAnsiTheme="majorHAnsi" w:cstheme="majorHAnsi"/>
                <w:bCs/>
                <w:color w:val="000000"/>
                <w:sz w:val="24"/>
                <w:szCs w:val="24"/>
                <w:lang w:val="pt-BR"/>
              </w:rPr>
              <w:t xml:space="preserve"> Ordinul nr.75 din 14.05.2014 cât și a Regulamentelor CR, fiecare gospodărie beneficiară trebuie să aibă un venit mai mic sau egal cu limita de venit adoptată prin Decizia Consiliului Local, calculată în baza a 75% din salariul mediu lunar oficial egalizat de Scala Oxford pentru dimensiunea gospodăriei. </w:t>
            </w:r>
          </w:p>
          <w:p w:rsidR="00B2345D" w:rsidRPr="00B2345D" w:rsidRDefault="00B2345D" w:rsidP="006B107A">
            <w:pPr>
              <w:pStyle w:val="a3"/>
              <w:spacing w:after="0" w:line="240" w:lineRule="auto"/>
              <w:ind w:left="0" w:firstLine="567"/>
              <w:jc w:val="both"/>
              <w:rPr>
                <w:rFonts w:asciiTheme="majorHAnsi" w:eastAsia="Times New Roman" w:hAnsiTheme="majorHAnsi" w:cstheme="majorHAnsi"/>
                <w:bCs/>
                <w:color w:val="000000"/>
                <w:sz w:val="24"/>
                <w:szCs w:val="24"/>
                <w:lang w:val="pt-BR"/>
              </w:rPr>
            </w:pPr>
            <w:r w:rsidRPr="00B2345D">
              <w:rPr>
                <w:rFonts w:asciiTheme="majorHAnsi" w:eastAsia="Times New Roman" w:hAnsiTheme="majorHAnsi" w:cstheme="majorHAnsi"/>
                <w:bCs/>
                <w:color w:val="000000"/>
                <w:sz w:val="24"/>
                <w:szCs w:val="24"/>
                <w:lang w:val="pt-BR"/>
              </w:rPr>
              <w:t>Totodată, conform prevederilor pct.10, subpct.9 din</w:t>
            </w:r>
            <w:r w:rsidRPr="00B2345D">
              <w:rPr>
                <w:rFonts w:asciiTheme="majorHAnsi" w:hAnsiTheme="majorHAnsi" w:cstheme="majorHAnsi"/>
                <w:sz w:val="24"/>
                <w:szCs w:val="24"/>
                <w:lang w:val="pt-BR"/>
              </w:rPr>
              <w:t xml:space="preserve"> Regulamentul aprobat prin</w:t>
            </w:r>
            <w:r w:rsidRPr="00B2345D">
              <w:rPr>
                <w:rFonts w:asciiTheme="majorHAnsi" w:eastAsia="Times New Roman" w:hAnsiTheme="majorHAnsi" w:cstheme="majorHAnsi"/>
                <w:bCs/>
                <w:color w:val="000000"/>
                <w:sz w:val="24"/>
                <w:szCs w:val="24"/>
                <w:lang w:val="pt-BR"/>
              </w:rPr>
              <w:t xml:space="preserve"> Ordinul nr.75 din 14.05.2014, fiecare solicitant trebuie să prezinte certificatul din partea angajatorului/autorității fiscale/băncii cu privire la venitul solicitantului şi venitul membrilor familiei sale sau altor persoane întreținute pentru ultimii trei ani, inclusiv venitul obținut din dobânda unor conturi de depozit, alocații, beneficii şi beneficii sociale în numerar.</w:t>
            </w:r>
          </w:p>
          <w:p w:rsidR="00B2345D" w:rsidRPr="00B2345D" w:rsidRDefault="00B2345D" w:rsidP="006B107A">
            <w:pPr>
              <w:pStyle w:val="a3"/>
              <w:spacing w:after="0" w:line="240" w:lineRule="auto"/>
              <w:ind w:left="0" w:firstLine="567"/>
              <w:jc w:val="both"/>
              <w:rPr>
                <w:rFonts w:asciiTheme="majorHAnsi" w:hAnsiTheme="majorHAnsi" w:cstheme="majorHAnsi"/>
                <w:sz w:val="24"/>
                <w:szCs w:val="24"/>
                <w:lang w:val="pt-BR"/>
              </w:rPr>
            </w:pPr>
            <w:r w:rsidRPr="00B2345D">
              <w:rPr>
                <w:rFonts w:asciiTheme="majorHAnsi" w:eastAsia="Times New Roman" w:hAnsiTheme="majorHAnsi" w:cstheme="majorHAnsi"/>
                <w:bCs/>
                <w:color w:val="000000"/>
                <w:sz w:val="24"/>
                <w:szCs w:val="24"/>
                <w:lang w:val="pt-BR"/>
              </w:rPr>
              <w:t>Examinând datele din baza de date fiscală (</w:t>
            </w:r>
            <w:r w:rsidRPr="00B2345D">
              <w:rPr>
                <w:rFonts w:asciiTheme="majorHAnsi" w:eastAsia="Times New Roman" w:hAnsiTheme="majorHAnsi" w:cstheme="majorHAnsi"/>
                <w:bCs/>
                <w:color w:val="2E74B5" w:themeColor="accent1" w:themeShade="BF"/>
                <w:sz w:val="24"/>
                <w:szCs w:val="24"/>
                <w:u w:val="single"/>
                <w:lang w:val="pt-BR"/>
              </w:rPr>
              <w:t>reports.fisc.md</w:t>
            </w:r>
            <w:r w:rsidRPr="00B2345D">
              <w:rPr>
                <w:rFonts w:asciiTheme="majorHAnsi" w:eastAsia="Times New Roman" w:hAnsiTheme="majorHAnsi" w:cstheme="majorHAnsi"/>
                <w:bCs/>
                <w:color w:val="000000"/>
                <w:sz w:val="24"/>
                <w:szCs w:val="24"/>
                <w:lang w:val="pt-BR"/>
              </w:rPr>
              <w:t xml:space="preserve">), auditul a constatat că, </w:t>
            </w:r>
            <w:r w:rsidRPr="00B2345D">
              <w:rPr>
                <w:rFonts w:asciiTheme="majorHAnsi" w:hAnsiTheme="majorHAnsi" w:cstheme="majorHAnsi"/>
                <w:sz w:val="24"/>
                <w:szCs w:val="24"/>
                <w:lang w:val="pt-BR"/>
              </w:rPr>
              <w:t>contrar prevederilor pct.4 din Regulament, în 8 cazuri din cele 19</w:t>
            </w:r>
            <w:r w:rsidRPr="00B2345D">
              <w:rPr>
                <w:rFonts w:asciiTheme="majorHAnsi" w:hAnsiTheme="majorHAnsi" w:cstheme="majorHAnsi"/>
                <w:color w:val="FF0000"/>
                <w:sz w:val="24"/>
                <w:szCs w:val="24"/>
                <w:lang w:val="pt-BR"/>
              </w:rPr>
              <w:t xml:space="preserve"> </w:t>
            </w:r>
            <w:r w:rsidRPr="00B2345D">
              <w:rPr>
                <w:rFonts w:asciiTheme="majorHAnsi" w:hAnsiTheme="majorHAnsi" w:cstheme="majorHAnsi"/>
                <w:sz w:val="24"/>
                <w:szCs w:val="24"/>
                <w:lang w:val="pt-BR"/>
              </w:rPr>
              <w:t>verificate, Comisia din cadrul CR Hîncești, a repartizat locuințe sociale unor beneficiari care nu erau eligibili conform criteriului privind venitul obținut față de venitul limită eligibil aprobat (Anexa nr.1).</w:t>
            </w:r>
          </w:p>
          <w:p w:rsidR="00B2345D" w:rsidRPr="00625DAB" w:rsidRDefault="00B2345D" w:rsidP="006B107A">
            <w:pPr>
              <w:numPr>
                <w:ilvl w:val="0"/>
                <w:numId w:val="1"/>
              </w:numPr>
              <w:spacing w:after="0" w:line="240" w:lineRule="auto"/>
              <w:ind w:left="0" w:firstLine="0"/>
              <w:contextualSpacing/>
              <w:jc w:val="both"/>
              <w:rPr>
                <w:rFonts w:asciiTheme="majorHAnsi" w:hAnsiTheme="majorHAnsi" w:cstheme="majorHAnsi"/>
                <w:sz w:val="24"/>
                <w:szCs w:val="24"/>
              </w:rPr>
            </w:pPr>
            <w:r w:rsidRPr="00B2345D">
              <w:rPr>
                <w:rFonts w:asciiTheme="majorHAnsi" w:hAnsiTheme="majorHAnsi" w:cstheme="majorHAnsi"/>
                <w:sz w:val="24"/>
                <w:szCs w:val="24"/>
                <w:lang w:val="pt-BR"/>
              </w:rPr>
              <w:t xml:space="preserve">Contrar prevederilor pct.4 subpct.3 din Regulamentul aprobat prin Ordinul nr.75 din </w:t>
            </w:r>
            <w:r w:rsidRPr="00B2345D">
              <w:rPr>
                <w:rFonts w:asciiTheme="majorHAnsi" w:eastAsia="Times New Roman" w:hAnsiTheme="majorHAnsi" w:cstheme="majorHAnsi"/>
                <w:bCs/>
                <w:color w:val="000000"/>
                <w:sz w:val="24"/>
                <w:szCs w:val="24"/>
                <w:lang w:val="pt-BR"/>
              </w:rPr>
              <w:t>14.05.2014, cât și Regulamentului CR, în 6 cazuri</w:t>
            </w:r>
            <w:r>
              <w:rPr>
                <w:rStyle w:val="a7"/>
                <w:rFonts w:asciiTheme="majorHAnsi" w:eastAsia="Times New Roman" w:hAnsiTheme="majorHAnsi" w:cstheme="majorHAnsi"/>
                <w:bCs/>
                <w:color w:val="000000"/>
                <w:sz w:val="24"/>
                <w:szCs w:val="24"/>
              </w:rPr>
              <w:footnoteReference w:id="11"/>
            </w:r>
            <w:r w:rsidRPr="00B2345D">
              <w:rPr>
                <w:rFonts w:asciiTheme="majorHAnsi" w:eastAsia="Times New Roman" w:hAnsiTheme="majorHAnsi" w:cstheme="majorHAnsi"/>
                <w:bCs/>
                <w:color w:val="000000"/>
                <w:sz w:val="24"/>
                <w:szCs w:val="24"/>
                <w:lang w:val="pt-BR"/>
              </w:rPr>
              <w:t xml:space="preserve"> din cele 29 verificate, Comisia din cadrul CR Hîncești, a repartizat locuințe sociale beneficiarilor, cu toate că aceștia din urmă sau membrii familiilor lor au deținut la momentul depunerii cererilor </w:t>
            </w:r>
            <w:r w:rsidRPr="0085404A">
              <w:rPr>
                <w:rFonts w:asciiTheme="majorHAnsi" w:hAnsiTheme="majorHAnsi" w:cstheme="majorHAnsi"/>
                <w:sz w:val="24"/>
                <w:szCs w:val="24"/>
                <w:lang w:val="ro-RO"/>
              </w:rPr>
              <w:t>locuințe pe teritoriul țării, terenuri pentru construcția de locuințe, precum și terenuri cu altă destinație</w:t>
            </w:r>
            <w:r w:rsidRPr="00B2345D">
              <w:rPr>
                <w:rFonts w:asciiTheme="majorHAnsi" w:eastAsia="Times New Roman" w:hAnsiTheme="majorHAnsi" w:cstheme="majorHAnsi"/>
                <w:bCs/>
                <w:color w:val="000000"/>
                <w:sz w:val="24"/>
                <w:szCs w:val="24"/>
                <w:lang w:val="pt-BR"/>
              </w:rPr>
              <w:t xml:space="preserve">. </w:t>
            </w:r>
            <w:r>
              <w:rPr>
                <w:rFonts w:asciiTheme="majorHAnsi" w:eastAsia="Times New Roman" w:hAnsiTheme="majorHAnsi" w:cstheme="majorHAnsi"/>
                <w:bCs/>
                <w:color w:val="000000"/>
                <w:sz w:val="24"/>
                <w:szCs w:val="24"/>
              </w:rPr>
              <w:t>(Anexa nr.3)</w:t>
            </w:r>
          </w:p>
          <w:p w:rsidR="00B2345D" w:rsidRPr="00B2345D" w:rsidRDefault="00B2345D" w:rsidP="006B107A">
            <w:pPr>
              <w:numPr>
                <w:ilvl w:val="0"/>
                <w:numId w:val="1"/>
              </w:numPr>
              <w:spacing w:after="0" w:line="240" w:lineRule="auto"/>
              <w:ind w:left="0" w:firstLine="0"/>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Conform pct.10 din Regulament, cererile solicitanților de locuințe sociale trebuie să fie însoțite de un set obligatoriu de documente.</w:t>
            </w:r>
          </w:p>
          <w:p w:rsidR="00B2345D" w:rsidRPr="007C15F8" w:rsidRDefault="00B2345D" w:rsidP="006B107A">
            <w:pPr>
              <w:spacing w:after="0" w:line="240" w:lineRule="auto"/>
              <w:ind w:firstLine="567"/>
              <w:contextualSpacing/>
              <w:jc w:val="both"/>
              <w:rPr>
                <w:rFonts w:asciiTheme="majorHAnsi" w:hAnsiTheme="majorHAnsi" w:cstheme="majorHAnsi"/>
                <w:sz w:val="24"/>
                <w:szCs w:val="24"/>
              </w:rPr>
            </w:pPr>
            <w:r w:rsidRPr="00B2345D">
              <w:rPr>
                <w:rFonts w:asciiTheme="majorHAnsi" w:hAnsiTheme="majorHAnsi" w:cstheme="majorHAnsi"/>
                <w:sz w:val="24"/>
                <w:szCs w:val="24"/>
                <w:lang w:val="pt-BR"/>
              </w:rPr>
              <w:t xml:space="preserve">Examinând dosarele beneficiarilor de locuințe sociale, auditul atestă neprezentarea unor documente obligatorii, fapt ce diminuează transparența și conformitatea procesului de repartizare a locuințelor sociale. </w:t>
            </w:r>
            <w:r w:rsidRPr="007C15F8">
              <w:rPr>
                <w:rFonts w:asciiTheme="majorHAnsi" w:hAnsiTheme="majorHAnsi" w:cstheme="majorHAnsi"/>
                <w:sz w:val="24"/>
                <w:szCs w:val="24"/>
              </w:rPr>
              <w:t>Astfel,</w:t>
            </w:r>
          </w:p>
          <w:p w:rsidR="00B2345D" w:rsidRPr="00B2345D" w:rsidRDefault="00B2345D" w:rsidP="006B107A">
            <w:pPr>
              <w:numPr>
                <w:ilvl w:val="0"/>
                <w:numId w:val="2"/>
              </w:numPr>
              <w:spacing w:after="0" w:line="240" w:lineRule="auto"/>
              <w:ind w:left="0" w:firstLine="0"/>
              <w:contextualSpacing/>
              <w:jc w:val="both"/>
              <w:rPr>
                <w:rFonts w:asciiTheme="majorHAnsi" w:hAnsiTheme="majorHAnsi" w:cstheme="majorHAnsi"/>
                <w:sz w:val="24"/>
                <w:szCs w:val="24"/>
                <w:lang w:val="pt-BR"/>
              </w:rPr>
            </w:pPr>
            <w:r w:rsidRPr="00B2345D">
              <w:rPr>
                <w:rFonts w:asciiTheme="majorHAnsi" w:hAnsiTheme="majorHAnsi" w:cstheme="majorHAnsi"/>
                <w:sz w:val="24"/>
                <w:szCs w:val="24"/>
                <w:lang w:val="pt-BR"/>
              </w:rPr>
              <w:lastRenderedPageBreak/>
              <w:t>contrar prevederilor pct.4 subpct. 2</w:t>
            </w:r>
            <w:r w:rsidRPr="007C15F8">
              <w:rPr>
                <w:rFonts w:asciiTheme="majorHAnsi" w:hAnsiTheme="majorHAnsi" w:cstheme="majorHAnsi"/>
                <w:sz w:val="24"/>
                <w:szCs w:val="24"/>
                <w:vertAlign w:val="superscript"/>
              </w:rPr>
              <w:footnoteReference w:id="12"/>
            </w:r>
            <w:r w:rsidRPr="00B2345D">
              <w:rPr>
                <w:rFonts w:asciiTheme="majorHAnsi" w:hAnsiTheme="majorHAnsi" w:cstheme="majorHAnsi"/>
                <w:sz w:val="24"/>
                <w:szCs w:val="24"/>
                <w:lang w:val="pt-BR"/>
              </w:rPr>
              <w:t xml:space="preserve"> și pct.10, subpct.5</w:t>
            </w:r>
            <w:r w:rsidRPr="007C15F8">
              <w:rPr>
                <w:rFonts w:asciiTheme="majorHAnsi" w:hAnsiTheme="majorHAnsi" w:cstheme="majorHAnsi"/>
                <w:sz w:val="24"/>
                <w:szCs w:val="24"/>
                <w:vertAlign w:val="superscript"/>
              </w:rPr>
              <w:footnoteReference w:id="13"/>
            </w:r>
            <w:r w:rsidRPr="00B2345D">
              <w:rPr>
                <w:rFonts w:asciiTheme="majorHAnsi" w:hAnsiTheme="majorHAnsi" w:cstheme="majorHAnsi"/>
                <w:sz w:val="24"/>
                <w:szCs w:val="24"/>
                <w:lang w:val="pt-BR"/>
              </w:rPr>
              <w:t xml:space="preserve"> din Regulamentul aprobat prin Ordinul nr.75 din </w:t>
            </w:r>
            <w:r w:rsidRPr="00B2345D">
              <w:rPr>
                <w:rFonts w:asciiTheme="majorHAnsi" w:eastAsia="Times New Roman" w:hAnsiTheme="majorHAnsi" w:cstheme="majorHAnsi"/>
                <w:bCs/>
                <w:color w:val="000000"/>
                <w:sz w:val="24"/>
                <w:szCs w:val="24"/>
                <w:lang w:val="pt-BR"/>
              </w:rPr>
              <w:t>14.05.2014, 21 solicitanți din raionul Hîncești</w:t>
            </w:r>
            <w:r w:rsidRPr="00B2345D">
              <w:rPr>
                <w:rFonts w:asciiTheme="majorHAnsi" w:eastAsia="Times New Roman" w:hAnsiTheme="majorHAnsi" w:cstheme="majorHAnsi"/>
                <w:b/>
                <w:bCs/>
                <w:color w:val="000000"/>
                <w:sz w:val="24"/>
                <w:szCs w:val="24"/>
                <w:lang w:val="pt-BR"/>
              </w:rPr>
              <w:t xml:space="preserve"> </w:t>
            </w:r>
            <w:r w:rsidRPr="00B2345D">
              <w:rPr>
                <w:rFonts w:asciiTheme="majorHAnsi" w:eastAsia="Times New Roman" w:hAnsiTheme="majorHAnsi" w:cstheme="majorHAnsi"/>
                <w:bCs/>
                <w:color w:val="000000"/>
                <w:sz w:val="24"/>
                <w:szCs w:val="24"/>
                <w:lang w:val="pt-BR"/>
              </w:rPr>
              <w:t xml:space="preserve">nu a depus la cererile înaintate Certificatul cu privire la înregistrarea solicitantului pentru îmbunătățirea condițiilor de trai, eliberat de APL, cu indicarea componenței familiei. Acest fapt demonstrează că acești solicitanți nu se aflau într-o situație social-economică vulnerabilă; </w:t>
            </w:r>
          </w:p>
          <w:p w:rsidR="00B2345D" w:rsidRPr="00B2345D" w:rsidRDefault="00B2345D" w:rsidP="006B107A">
            <w:pPr>
              <w:numPr>
                <w:ilvl w:val="0"/>
                <w:numId w:val="2"/>
              </w:numPr>
              <w:spacing w:after="0" w:line="240" w:lineRule="auto"/>
              <w:ind w:left="0" w:firstLine="0"/>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contrar prevederilor pct. 4 subpct. 3</w:t>
            </w:r>
            <w:r w:rsidRPr="007C15F8">
              <w:rPr>
                <w:rFonts w:asciiTheme="majorHAnsi" w:hAnsiTheme="majorHAnsi" w:cstheme="majorHAnsi"/>
                <w:sz w:val="24"/>
                <w:szCs w:val="28"/>
                <w:vertAlign w:val="superscript"/>
              </w:rPr>
              <w:footnoteReference w:id="14"/>
            </w:r>
            <w:r w:rsidRPr="00B2345D">
              <w:rPr>
                <w:rFonts w:asciiTheme="majorHAnsi" w:hAnsiTheme="majorHAnsi" w:cstheme="majorHAnsi"/>
                <w:sz w:val="24"/>
                <w:szCs w:val="28"/>
                <w:lang w:val="pt-BR"/>
              </w:rPr>
              <w:t xml:space="preserve"> și pct.10 subpct.6</w:t>
            </w:r>
            <w:r w:rsidRPr="007C15F8">
              <w:rPr>
                <w:rFonts w:asciiTheme="majorHAnsi" w:hAnsiTheme="majorHAnsi" w:cstheme="majorHAnsi"/>
                <w:sz w:val="24"/>
                <w:szCs w:val="28"/>
                <w:vertAlign w:val="superscript"/>
              </w:rPr>
              <w:footnoteReference w:id="15"/>
            </w:r>
            <w:r w:rsidRPr="00B2345D">
              <w:rPr>
                <w:rFonts w:asciiTheme="majorHAnsi" w:hAnsiTheme="majorHAnsi" w:cstheme="majorHAnsi"/>
                <w:sz w:val="24"/>
                <w:szCs w:val="28"/>
                <w:lang w:val="pt-BR"/>
              </w:rPr>
              <w:t xml:space="preserve"> din Regulament, </w:t>
            </w:r>
            <w:r w:rsidRPr="00B2345D">
              <w:rPr>
                <w:rFonts w:asciiTheme="majorHAnsi" w:eastAsia="Times New Roman" w:hAnsiTheme="majorHAnsi" w:cstheme="majorHAnsi"/>
                <w:bCs/>
                <w:color w:val="000000"/>
                <w:sz w:val="24"/>
                <w:szCs w:val="28"/>
                <w:lang w:val="pt-BR"/>
              </w:rPr>
              <w:t xml:space="preserve">13 solicitanți din 29 verificate din raionul Hîncești  nu au anexat la cererile înaintate </w:t>
            </w:r>
            <w:r w:rsidRPr="00B2345D">
              <w:rPr>
                <w:rFonts w:asciiTheme="majorHAnsi" w:eastAsia="Times New Roman" w:hAnsiTheme="majorHAnsi" w:cstheme="majorHAnsi"/>
                <w:sz w:val="24"/>
                <w:szCs w:val="28"/>
                <w:lang w:val="pt-BR"/>
              </w:rPr>
              <w:t>un certificat de la ASP referitor la faptul că</w:t>
            </w:r>
            <w:r w:rsidRPr="00B2345D">
              <w:rPr>
                <w:rFonts w:asciiTheme="majorHAnsi" w:hAnsiTheme="majorHAnsi" w:cstheme="majorHAnsi"/>
                <w:sz w:val="24"/>
                <w:szCs w:val="28"/>
                <w:lang w:val="pt-BR"/>
              </w:rPr>
              <w:t xml:space="preserve"> nu a înstrăinat o locuință în ultimii 5 ani în Republica Moldova;</w:t>
            </w:r>
          </w:p>
          <w:p w:rsidR="00B2345D" w:rsidRPr="00B2345D" w:rsidRDefault="00B2345D" w:rsidP="006B107A">
            <w:pPr>
              <w:numPr>
                <w:ilvl w:val="0"/>
                <w:numId w:val="2"/>
              </w:numPr>
              <w:spacing w:after="0" w:line="240" w:lineRule="auto"/>
              <w:ind w:left="0" w:firstLine="0"/>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contrar prevederilor pct.10 subpct.10 din Regulament, în 12 cazuri solicitanții din raionul Hîncești nu au prezentat certificatul eliberat de APL pe teritoriul căreia domiciliază, care confirmă faptul că aceștia nu au beneficiat din partea statului şi APL de credite preferențiale şi susținere exprimată prin materiale de construcție pentru construcția de locuințe sau asistență financiară în acest scop;</w:t>
            </w:r>
          </w:p>
          <w:p w:rsidR="00B2345D" w:rsidRPr="00B2345D" w:rsidRDefault="00B2345D" w:rsidP="006B107A">
            <w:pPr>
              <w:numPr>
                <w:ilvl w:val="0"/>
                <w:numId w:val="2"/>
              </w:numPr>
              <w:spacing w:after="0" w:line="240" w:lineRule="auto"/>
              <w:ind w:left="0" w:firstLine="0"/>
              <w:contextualSpacing/>
              <w:jc w:val="both"/>
              <w:rPr>
                <w:rFonts w:asciiTheme="majorHAnsi" w:hAnsiTheme="majorHAnsi" w:cstheme="majorHAnsi"/>
                <w:sz w:val="24"/>
                <w:szCs w:val="28"/>
                <w:lang w:val="pt-BR"/>
              </w:rPr>
            </w:pPr>
            <w:r w:rsidRPr="00B2345D">
              <w:rPr>
                <w:rFonts w:asciiTheme="majorHAnsi" w:hAnsiTheme="majorHAnsi" w:cstheme="majorHAnsi"/>
                <w:sz w:val="24"/>
                <w:szCs w:val="28"/>
                <w:lang w:val="pt-BR"/>
              </w:rPr>
              <w:t>contrar prevederilor pct.10 subpct.11 din Regulament, în 2 cazuri solicitanții din raionul Hîncești nu au prezentat certificatul eliberat de primăria unității administrativ-teritoriale pe teritoriul căreia domiciliază, ce confirmă faptul că aceștia nu au participat la privatizarea locuințelor, loturilor pentru construcție, terenurilor cu altă destinație, caselor individuale, obținute anterior de la stat;</w:t>
            </w:r>
          </w:p>
          <w:p w:rsidR="00B2345D" w:rsidRPr="00662551" w:rsidRDefault="00B2345D" w:rsidP="006B107A">
            <w:pPr>
              <w:numPr>
                <w:ilvl w:val="0"/>
                <w:numId w:val="2"/>
              </w:numPr>
              <w:spacing w:after="0" w:line="240" w:lineRule="auto"/>
              <w:ind w:left="0" w:firstLine="0"/>
              <w:contextualSpacing/>
              <w:jc w:val="both"/>
              <w:rPr>
                <w:rFonts w:asciiTheme="majorHAnsi" w:eastAsia="Times New Roman" w:hAnsiTheme="majorHAnsi" w:cstheme="majorHAnsi"/>
                <w:color w:val="000000"/>
                <w:sz w:val="20"/>
                <w:szCs w:val="20"/>
              </w:rPr>
            </w:pPr>
            <w:r w:rsidRPr="007C15F8">
              <w:rPr>
                <w:rFonts w:asciiTheme="majorHAnsi" w:hAnsiTheme="majorHAnsi" w:cstheme="majorHAnsi"/>
                <w:sz w:val="24"/>
                <w:szCs w:val="28"/>
              </w:rPr>
              <w:t xml:space="preserve">contrar prevederilor pct.10 subpct.9 din Regulament, </w:t>
            </w:r>
            <w:r w:rsidRPr="00BD62B0">
              <w:rPr>
                <w:rFonts w:asciiTheme="majorHAnsi" w:hAnsiTheme="majorHAnsi" w:cstheme="majorHAnsi"/>
                <w:sz w:val="24"/>
                <w:szCs w:val="28"/>
              </w:rPr>
              <w:t>10 solicitanți</w:t>
            </w:r>
            <w:r w:rsidRPr="007C15F8">
              <w:rPr>
                <w:rFonts w:asciiTheme="majorHAnsi" w:hAnsiTheme="majorHAnsi" w:cstheme="majorHAnsi"/>
                <w:sz w:val="24"/>
                <w:szCs w:val="28"/>
              </w:rPr>
              <w:t xml:space="preserve"> din r</w:t>
            </w:r>
            <w:r>
              <w:rPr>
                <w:rFonts w:asciiTheme="majorHAnsi" w:hAnsiTheme="majorHAnsi" w:cstheme="majorHAnsi"/>
                <w:sz w:val="24"/>
                <w:szCs w:val="28"/>
              </w:rPr>
              <w:t xml:space="preserve">aionul Hîncești </w:t>
            </w:r>
            <w:r w:rsidRPr="007C15F8">
              <w:rPr>
                <w:rFonts w:asciiTheme="majorHAnsi" w:hAnsiTheme="majorHAnsi" w:cstheme="majorHAnsi"/>
                <w:sz w:val="24"/>
                <w:szCs w:val="28"/>
              </w:rPr>
              <w:t xml:space="preserve"> nu </w:t>
            </w:r>
            <w:r w:rsidRPr="007C15F8">
              <w:rPr>
                <w:rFonts w:asciiTheme="majorHAnsi" w:eastAsia="Times New Roman" w:hAnsiTheme="majorHAnsi"/>
                <w:sz w:val="24"/>
                <w:szCs w:val="24"/>
              </w:rPr>
              <w:t xml:space="preserve">au depus certificatul din partea angajatorului/autorității fiscale/băncii cu privire la venitul lor şi venitul membrilor familiilor lor sau altor persoane întreținute pentru ultimii trei ani, inclusiv venitul obținut din dobânda unor conturi de depozit, alocații, beneficii </w:t>
            </w:r>
            <w:r>
              <w:rPr>
                <w:rFonts w:asciiTheme="majorHAnsi" w:eastAsia="Times New Roman" w:hAnsiTheme="majorHAnsi"/>
                <w:sz w:val="24"/>
                <w:szCs w:val="24"/>
              </w:rPr>
              <w:t>şi beneficii sociale în numerar.</w:t>
            </w:r>
          </w:p>
        </w:tc>
      </w:tr>
    </w:tbl>
    <w:p w:rsidR="00555302" w:rsidRDefault="00555302" w:rsidP="00B2345D">
      <w:pPr>
        <w:ind w:left="567"/>
      </w:pPr>
    </w:p>
    <w:sectPr w:rsidR="00555302" w:rsidSect="00610B48">
      <w:footerReference w:type="default" r:id="rId8"/>
      <w:pgSz w:w="16840" w:h="11907" w:orient="landscape" w:code="9"/>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AC" w:rsidRDefault="000C6EAC" w:rsidP="00035198">
      <w:pPr>
        <w:spacing w:after="0" w:line="240" w:lineRule="auto"/>
      </w:pPr>
      <w:r>
        <w:separator/>
      </w:r>
    </w:p>
  </w:endnote>
  <w:endnote w:type="continuationSeparator" w:id="0">
    <w:p w:rsidR="000C6EAC" w:rsidRDefault="000C6EAC" w:rsidP="0003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44309"/>
      <w:docPartObj>
        <w:docPartGallery w:val="Page Numbers (Bottom of Page)"/>
        <w:docPartUnique/>
      </w:docPartObj>
    </w:sdtPr>
    <w:sdtEndPr>
      <w:rPr>
        <w:noProof/>
      </w:rPr>
    </w:sdtEndPr>
    <w:sdtContent>
      <w:p w:rsidR="0079139F" w:rsidRDefault="0079139F">
        <w:pPr>
          <w:pStyle w:val="ab"/>
          <w:jc w:val="right"/>
        </w:pPr>
        <w:r>
          <w:fldChar w:fldCharType="begin"/>
        </w:r>
        <w:r>
          <w:instrText xml:space="preserve"> PAGE   \* MERGEFORMAT </w:instrText>
        </w:r>
        <w:r>
          <w:fldChar w:fldCharType="separate"/>
        </w:r>
        <w:r w:rsidR="008D0EA9">
          <w:rPr>
            <w:noProof/>
          </w:rPr>
          <w:t>6</w:t>
        </w:r>
        <w:r>
          <w:rPr>
            <w:noProof/>
          </w:rPr>
          <w:fldChar w:fldCharType="end"/>
        </w:r>
      </w:p>
    </w:sdtContent>
  </w:sdt>
  <w:p w:rsidR="0079139F" w:rsidRDefault="0079139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AC" w:rsidRDefault="000C6EAC" w:rsidP="00035198">
      <w:pPr>
        <w:spacing w:after="0" w:line="240" w:lineRule="auto"/>
      </w:pPr>
      <w:r>
        <w:separator/>
      </w:r>
    </w:p>
  </w:footnote>
  <w:footnote w:type="continuationSeparator" w:id="0">
    <w:p w:rsidR="000C6EAC" w:rsidRDefault="000C6EAC" w:rsidP="00035198">
      <w:pPr>
        <w:spacing w:after="0" w:line="240" w:lineRule="auto"/>
      </w:pPr>
      <w:r>
        <w:continuationSeparator/>
      </w:r>
    </w:p>
  </w:footnote>
  <w:footnote w:id="1">
    <w:p w:rsidR="00B2345D" w:rsidRPr="00B2345D" w:rsidRDefault="00B2345D" w:rsidP="00CB24F6">
      <w:pPr>
        <w:pStyle w:val="a5"/>
        <w:jc w:val="both"/>
        <w:rPr>
          <w:rFonts w:asciiTheme="majorHAnsi" w:hAnsiTheme="majorHAnsi" w:cstheme="majorHAnsi"/>
          <w:sz w:val="18"/>
          <w:szCs w:val="18"/>
          <w:lang w:val="pt-BR"/>
        </w:rPr>
      </w:pPr>
      <w:r w:rsidRPr="005365D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Ordinul </w:t>
      </w:r>
      <w:r w:rsidRPr="00B2345D">
        <w:rPr>
          <w:rFonts w:asciiTheme="majorHAnsi" w:eastAsia="Times New Roman" w:hAnsiTheme="majorHAnsi" w:cstheme="majorHAnsi"/>
          <w:bCs/>
          <w:color w:val="000000"/>
          <w:sz w:val="18"/>
          <w:szCs w:val="18"/>
          <w:lang w:val="pt-BR"/>
        </w:rPr>
        <w:t>cu privire la aprobarea Regulamentului cu privire la modul și condițiile de desfășurare a Proiectului de construcție a locuințelor pentru păturile social/economic vulnerabile II nr.75 din 14.05.2014</w:t>
      </w:r>
    </w:p>
  </w:footnote>
  <w:footnote w:id="2">
    <w:p w:rsidR="00B2345D" w:rsidRPr="00B2345D" w:rsidRDefault="00B2345D" w:rsidP="00CB24F6">
      <w:pPr>
        <w:pStyle w:val="a5"/>
        <w:jc w:val="both"/>
        <w:rPr>
          <w:rFonts w:asciiTheme="majorHAnsi" w:hAnsiTheme="majorHAnsi" w:cstheme="majorHAnsi"/>
          <w:sz w:val="18"/>
          <w:szCs w:val="18"/>
          <w:lang w:val="pt-BR"/>
        </w:rPr>
      </w:pPr>
      <w:r w:rsidRPr="005365D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Lege pentru ratificarea Acordului-cadru de împrumut dintre Republica Moldova şi Banca de Dezvoltare a Consiliului Europei întru realizarea Proiectului de construcţie a locuinţelor pentru păturile socialmente vulnerabile II nr.182 din 11.07.2012</w:t>
      </w:r>
    </w:p>
  </w:footnote>
  <w:footnote w:id="3">
    <w:p w:rsidR="00B2345D" w:rsidRPr="00A946ED" w:rsidRDefault="00B2345D">
      <w:pPr>
        <w:pStyle w:val="a5"/>
        <w:rPr>
          <w:lang w:val="ro-RO"/>
        </w:rPr>
      </w:pPr>
      <w:r>
        <w:rPr>
          <w:rStyle w:val="a7"/>
        </w:rPr>
        <w:footnoteRef/>
      </w:r>
      <w:r w:rsidRPr="00B2345D">
        <w:rPr>
          <w:lang w:val="pt-BR"/>
        </w:rPr>
        <w:t xml:space="preserve"> </w:t>
      </w:r>
      <w:r w:rsidRPr="00B2345D">
        <w:rPr>
          <w:rFonts w:asciiTheme="majorHAnsi" w:hAnsiTheme="majorHAnsi" w:cstheme="majorHAnsi"/>
          <w:sz w:val="24"/>
          <w:szCs w:val="24"/>
          <w:lang w:val="pt-BR"/>
        </w:rPr>
        <w:t xml:space="preserve"> </w:t>
      </w:r>
      <w:r w:rsidRPr="00B2345D">
        <w:rPr>
          <w:rFonts w:asciiTheme="majorHAnsi" w:hAnsiTheme="majorHAnsi" w:cstheme="majorHAnsi"/>
          <w:lang w:val="pt-BR"/>
        </w:rPr>
        <w:t>4 apartamente mun. Hîncești - 1.864,90 mii lei; 6 apartamente (clădirea s. Bujor)  - 3.432,35 mii lei; 4 apartamente (clădirea s.Sofia) - 2.258,76 mii lei.</w:t>
      </w:r>
    </w:p>
  </w:footnote>
  <w:footnote w:id="4">
    <w:p w:rsidR="00B2345D" w:rsidRPr="00B2345D" w:rsidRDefault="00B2345D" w:rsidP="00CB24F6">
      <w:pPr>
        <w:pStyle w:val="a5"/>
        <w:rPr>
          <w:rFonts w:asciiTheme="majorHAnsi" w:hAnsiTheme="majorHAnsi" w:cstheme="majorHAnsi"/>
          <w:sz w:val="18"/>
          <w:szCs w:val="18"/>
          <w:lang w:val="pt-BR"/>
        </w:rPr>
      </w:pPr>
      <w:r w:rsidRPr="007A1CA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Valoarea lucrărilor transmise constituie 2.258,8 mii lei</w:t>
      </w:r>
    </w:p>
  </w:footnote>
  <w:footnote w:id="5">
    <w:p w:rsidR="00B2345D" w:rsidRPr="00B2345D" w:rsidRDefault="00B2345D" w:rsidP="00CB24F6">
      <w:pPr>
        <w:pStyle w:val="a5"/>
        <w:rPr>
          <w:rFonts w:asciiTheme="majorHAnsi" w:hAnsiTheme="majorHAnsi" w:cstheme="majorHAnsi"/>
          <w:sz w:val="18"/>
          <w:szCs w:val="18"/>
          <w:lang w:val="pt-BR"/>
        </w:rPr>
      </w:pPr>
      <w:r w:rsidRPr="007A1CA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Decizia Consiliului comunal Sofia din raionul Hîncești nr.07/01 din 04.10.2013  și Deciziei CR Hîncești nr.01/01 din 20.01.2014</w:t>
      </w:r>
    </w:p>
  </w:footnote>
  <w:footnote w:id="6">
    <w:p w:rsidR="00B2345D" w:rsidRPr="007A1CA9" w:rsidRDefault="00B2345D" w:rsidP="00CB24F6">
      <w:pPr>
        <w:pStyle w:val="a5"/>
        <w:rPr>
          <w:rFonts w:asciiTheme="majorHAnsi" w:hAnsiTheme="majorHAnsi" w:cstheme="majorHAnsi"/>
          <w:sz w:val="18"/>
          <w:szCs w:val="18"/>
          <w:lang w:val="ro-RO"/>
        </w:rPr>
      </w:pPr>
      <w:r w:rsidRPr="007A1CA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împreună cu responsabilii din CR Hîncești și primăria s. Sofia</w:t>
      </w:r>
    </w:p>
  </w:footnote>
  <w:footnote w:id="7">
    <w:p w:rsidR="00B2345D" w:rsidRPr="00B2345D" w:rsidRDefault="00B2345D" w:rsidP="00CB24F6">
      <w:pPr>
        <w:pStyle w:val="a5"/>
        <w:rPr>
          <w:rFonts w:asciiTheme="majorHAnsi" w:hAnsiTheme="majorHAnsi" w:cstheme="majorHAnsi"/>
          <w:sz w:val="18"/>
          <w:szCs w:val="18"/>
          <w:vertAlign w:val="superscript"/>
          <w:lang w:val="pt-BR"/>
        </w:rPr>
      </w:pPr>
      <w:r w:rsidRPr="007A1CA9">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4 apartamente cu suprafața de 130,9 m</w:t>
      </w:r>
      <w:r w:rsidRPr="00B2345D">
        <w:rPr>
          <w:rFonts w:asciiTheme="majorHAnsi" w:hAnsiTheme="majorHAnsi" w:cstheme="majorHAnsi"/>
          <w:sz w:val="18"/>
          <w:szCs w:val="18"/>
          <w:vertAlign w:val="superscript"/>
          <w:lang w:val="pt-BR"/>
        </w:rPr>
        <w:t>2</w:t>
      </w:r>
      <w:r w:rsidRPr="00B2345D">
        <w:rPr>
          <w:rFonts w:asciiTheme="majorHAnsi" w:hAnsiTheme="majorHAnsi" w:cstheme="majorHAnsi"/>
          <w:sz w:val="18"/>
          <w:szCs w:val="18"/>
          <w:lang w:val="pt-BR"/>
        </w:rPr>
        <w:t xml:space="preserve"> = 36,2 m</w:t>
      </w:r>
      <w:r w:rsidRPr="00B2345D">
        <w:rPr>
          <w:rFonts w:asciiTheme="majorHAnsi" w:hAnsiTheme="majorHAnsi" w:cstheme="majorHAnsi"/>
          <w:sz w:val="18"/>
          <w:szCs w:val="18"/>
          <w:vertAlign w:val="superscript"/>
          <w:lang w:val="pt-BR"/>
        </w:rPr>
        <w:t>2</w:t>
      </w:r>
      <w:r w:rsidRPr="00B2345D">
        <w:rPr>
          <w:rFonts w:asciiTheme="majorHAnsi" w:hAnsiTheme="majorHAnsi" w:cstheme="majorHAnsi"/>
          <w:sz w:val="18"/>
          <w:szCs w:val="18"/>
          <w:lang w:val="pt-BR"/>
        </w:rPr>
        <w:t xml:space="preserve"> + 28,5 m</w:t>
      </w:r>
      <w:r w:rsidRPr="00B2345D">
        <w:rPr>
          <w:rFonts w:asciiTheme="majorHAnsi" w:hAnsiTheme="majorHAnsi" w:cstheme="majorHAnsi"/>
          <w:sz w:val="18"/>
          <w:szCs w:val="18"/>
          <w:vertAlign w:val="superscript"/>
          <w:lang w:val="pt-BR"/>
        </w:rPr>
        <w:t>2</w:t>
      </w:r>
      <w:r w:rsidRPr="00B2345D">
        <w:rPr>
          <w:rFonts w:asciiTheme="majorHAnsi" w:hAnsiTheme="majorHAnsi" w:cstheme="majorHAnsi"/>
          <w:sz w:val="18"/>
          <w:szCs w:val="18"/>
          <w:lang w:val="pt-BR"/>
        </w:rPr>
        <w:t xml:space="preserve"> + 34,5 m</w:t>
      </w:r>
      <w:r w:rsidRPr="00B2345D">
        <w:rPr>
          <w:rFonts w:asciiTheme="majorHAnsi" w:hAnsiTheme="majorHAnsi" w:cstheme="majorHAnsi"/>
          <w:sz w:val="18"/>
          <w:szCs w:val="18"/>
          <w:vertAlign w:val="superscript"/>
          <w:lang w:val="pt-BR"/>
        </w:rPr>
        <w:t>2</w:t>
      </w:r>
      <w:r w:rsidRPr="00B2345D">
        <w:rPr>
          <w:rFonts w:asciiTheme="majorHAnsi" w:hAnsiTheme="majorHAnsi" w:cstheme="majorHAnsi"/>
          <w:sz w:val="18"/>
          <w:szCs w:val="18"/>
          <w:lang w:val="pt-BR"/>
        </w:rPr>
        <w:t xml:space="preserve"> + 31,7 m</w:t>
      </w:r>
      <w:r w:rsidRPr="00B2345D">
        <w:rPr>
          <w:rFonts w:asciiTheme="majorHAnsi" w:hAnsiTheme="majorHAnsi" w:cstheme="majorHAnsi"/>
          <w:sz w:val="18"/>
          <w:szCs w:val="18"/>
          <w:vertAlign w:val="superscript"/>
          <w:lang w:val="pt-BR"/>
        </w:rPr>
        <w:t>2</w:t>
      </w:r>
    </w:p>
  </w:footnote>
  <w:footnote w:id="8">
    <w:p w:rsidR="00B2345D" w:rsidRPr="00B2345D" w:rsidRDefault="00B2345D" w:rsidP="00610B48">
      <w:pPr>
        <w:pStyle w:val="a5"/>
        <w:rPr>
          <w:rFonts w:asciiTheme="majorHAnsi" w:hAnsiTheme="majorHAnsi" w:cstheme="majorHAnsi"/>
          <w:sz w:val="18"/>
          <w:szCs w:val="18"/>
          <w:lang w:val="pt-BR"/>
        </w:rPr>
      </w:pPr>
      <w:r w:rsidRPr="00642EF2">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Tipuri de documente/certificate analizate</w:t>
      </w:r>
    </w:p>
  </w:footnote>
  <w:footnote w:id="9">
    <w:p w:rsidR="00B2345D" w:rsidRPr="00B2345D" w:rsidRDefault="00B2345D" w:rsidP="00610B48">
      <w:pPr>
        <w:pStyle w:val="a5"/>
        <w:rPr>
          <w:rFonts w:asciiTheme="majorHAnsi" w:hAnsiTheme="majorHAnsi" w:cstheme="majorHAnsi"/>
          <w:sz w:val="18"/>
          <w:szCs w:val="18"/>
          <w:lang w:val="pt-BR"/>
        </w:rPr>
      </w:pPr>
      <w:r w:rsidRPr="00642EF2">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Realizate – numărul beneficiarilor locuințelor sociale auditate.</w:t>
      </w:r>
    </w:p>
  </w:footnote>
  <w:footnote w:id="10">
    <w:p w:rsidR="00B2345D" w:rsidRPr="00B2345D" w:rsidRDefault="00B2345D" w:rsidP="00CB1CA1">
      <w:pPr>
        <w:pStyle w:val="a5"/>
        <w:jc w:val="both"/>
        <w:rPr>
          <w:rFonts w:asciiTheme="majorHAnsi" w:hAnsiTheme="majorHAnsi" w:cstheme="majorHAnsi"/>
          <w:sz w:val="18"/>
          <w:szCs w:val="18"/>
          <w:lang w:val="pt-BR"/>
        </w:rPr>
      </w:pPr>
    </w:p>
  </w:footnote>
  <w:footnote w:id="11">
    <w:p w:rsidR="00B2345D" w:rsidRPr="00B2345D" w:rsidRDefault="00B2345D" w:rsidP="007A1CA9">
      <w:pPr>
        <w:pStyle w:val="a3"/>
        <w:spacing w:after="0" w:line="276" w:lineRule="auto"/>
        <w:ind w:left="0"/>
        <w:jc w:val="both"/>
        <w:rPr>
          <w:lang w:val="pt-BR"/>
        </w:rPr>
      </w:pPr>
      <w:bookmarkStart w:id="0" w:name="_GoBack"/>
      <w:bookmarkEnd w:id="0"/>
    </w:p>
  </w:footnote>
  <w:footnote w:id="12">
    <w:p w:rsidR="00B2345D" w:rsidRPr="008D0EA9" w:rsidRDefault="00B2345D" w:rsidP="005F44B5">
      <w:pPr>
        <w:spacing w:after="0" w:line="276" w:lineRule="auto"/>
        <w:jc w:val="both"/>
        <w:rPr>
          <w:rFonts w:asciiTheme="majorHAnsi" w:eastAsia="Times New Roman" w:hAnsiTheme="majorHAnsi" w:cstheme="majorHAnsi"/>
          <w:b/>
          <w:sz w:val="18"/>
          <w:szCs w:val="18"/>
          <w:lang w:val="pt-BR"/>
        </w:rPr>
      </w:pPr>
      <w:r w:rsidRPr="00CB24F6">
        <w:rPr>
          <w:rStyle w:val="a7"/>
          <w:rFonts w:asciiTheme="majorHAnsi" w:hAnsiTheme="majorHAnsi" w:cstheme="majorHAnsi"/>
          <w:sz w:val="18"/>
          <w:szCs w:val="18"/>
        </w:rPr>
        <w:footnoteRef/>
      </w:r>
      <w:r w:rsidRPr="008D0EA9">
        <w:rPr>
          <w:rFonts w:asciiTheme="majorHAnsi" w:hAnsiTheme="majorHAnsi" w:cstheme="majorHAnsi"/>
          <w:sz w:val="18"/>
          <w:szCs w:val="18"/>
          <w:lang w:val="pt-BR"/>
        </w:rPr>
        <w:t xml:space="preserve"> </w:t>
      </w:r>
      <w:r w:rsidRPr="008D0EA9">
        <w:rPr>
          <w:rFonts w:asciiTheme="majorHAnsi" w:eastAsia="Times New Roman" w:hAnsiTheme="majorHAnsi" w:cstheme="majorHAnsi"/>
          <w:sz w:val="18"/>
          <w:szCs w:val="18"/>
          <w:lang w:val="pt-BR"/>
        </w:rPr>
        <w:t>Toate categoriile incluse în punctul 3 trebuie să întrunească următoarea condiție obligatorie: 2) să fie înregistrate pentru îmbunătățirea condițiilor de trai de către autoritățile locale din localitatea în care urmează a fi construite locuințele sociale.</w:t>
      </w:r>
    </w:p>
  </w:footnote>
  <w:footnote w:id="13">
    <w:p w:rsidR="00B2345D" w:rsidRPr="00B2345D" w:rsidRDefault="00B2345D" w:rsidP="005F44B5">
      <w:pPr>
        <w:pStyle w:val="a5"/>
        <w:spacing w:line="276" w:lineRule="auto"/>
        <w:jc w:val="both"/>
        <w:rPr>
          <w:rFonts w:asciiTheme="majorHAnsi" w:hAnsiTheme="majorHAnsi" w:cstheme="majorHAnsi"/>
          <w:sz w:val="18"/>
          <w:szCs w:val="18"/>
          <w:lang w:val="pt-BR"/>
        </w:rPr>
      </w:pPr>
      <w:r w:rsidRPr="00CB24F6">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Cererile solicitanților de locuințe sociale trebuie să fie însoțite de următoarele documente: Certificatul cu privire la înregistrarea solicitantului pentru îmbunătățirea condițiilor de trai, eliberat de autoritățile administrației publice locale din localitatea în care se construiesc locuințele sociale, cu indicarea componenței familiei.</w:t>
      </w:r>
    </w:p>
  </w:footnote>
  <w:footnote w:id="14">
    <w:p w:rsidR="00B2345D" w:rsidRPr="00B2345D" w:rsidRDefault="00B2345D" w:rsidP="005F44B5">
      <w:pPr>
        <w:spacing w:after="0" w:line="276" w:lineRule="auto"/>
        <w:jc w:val="both"/>
        <w:rPr>
          <w:rFonts w:asciiTheme="majorHAnsi" w:eastAsia="Times New Roman" w:hAnsiTheme="majorHAnsi" w:cstheme="majorHAnsi"/>
          <w:b/>
          <w:sz w:val="18"/>
          <w:szCs w:val="18"/>
          <w:lang w:val="pt-BR"/>
        </w:rPr>
      </w:pPr>
      <w:r w:rsidRPr="00CB1CA1">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eastAsia="Times New Roman" w:hAnsiTheme="majorHAnsi" w:cstheme="majorHAnsi"/>
          <w:sz w:val="18"/>
          <w:szCs w:val="18"/>
          <w:lang w:val="pt-BR"/>
        </w:rPr>
        <w:t>Toate categoriile incluse în punctul 3 trebuie să întrunească următoarele condiții obligatorii: 3) membrii familiei (soțul/ soția, copiii şi/sau alte persoane întreținute) să nu aibă în proprietate locuințe pe teritoriul Republicii Moldova şi peste hotarele ei, teren pentru construcția de locuințe, terenuri cu altă destinație sau casă construită capital în întovărășirile pomicole, precum şi nu au înstrăinat o locuință în ultimii 5 ani în Republica Moldova.</w:t>
      </w:r>
    </w:p>
  </w:footnote>
  <w:footnote w:id="15">
    <w:p w:rsidR="00B2345D" w:rsidRPr="00B2345D" w:rsidRDefault="00B2345D" w:rsidP="005F44B5">
      <w:pPr>
        <w:pStyle w:val="a5"/>
        <w:spacing w:line="276" w:lineRule="auto"/>
        <w:jc w:val="both"/>
        <w:rPr>
          <w:rFonts w:asciiTheme="majorHAnsi" w:hAnsiTheme="majorHAnsi" w:cstheme="majorHAnsi"/>
          <w:sz w:val="18"/>
          <w:szCs w:val="18"/>
          <w:lang w:val="pt-BR"/>
        </w:rPr>
      </w:pPr>
      <w:r w:rsidRPr="00CB1CA1">
        <w:rPr>
          <w:rStyle w:val="a7"/>
          <w:rFonts w:asciiTheme="majorHAnsi" w:hAnsiTheme="majorHAnsi" w:cstheme="majorHAnsi"/>
          <w:sz w:val="18"/>
          <w:szCs w:val="18"/>
        </w:rPr>
        <w:footnoteRef/>
      </w:r>
      <w:r w:rsidRPr="00B2345D">
        <w:rPr>
          <w:rFonts w:asciiTheme="majorHAnsi" w:hAnsiTheme="majorHAnsi" w:cstheme="majorHAnsi"/>
          <w:sz w:val="18"/>
          <w:szCs w:val="18"/>
          <w:lang w:val="pt-BR"/>
        </w:rPr>
        <w:t xml:space="preserve"> </w:t>
      </w:r>
      <w:r w:rsidRPr="00B2345D">
        <w:rPr>
          <w:rFonts w:asciiTheme="majorHAnsi" w:hAnsiTheme="majorHAnsi" w:cstheme="majorHAnsi"/>
          <w:sz w:val="18"/>
          <w:szCs w:val="18"/>
          <w:lang w:val="pt-BR"/>
        </w:rPr>
        <w:t>Cererile solicitanților de locuințe sociale trebuie să fie însoțite de următoarele documente: Certificatul eliberat de Oficiul Teritorial Cadastral sau de Primărie (în cazul în care bunul imobil nu este înregistrat la Oficiul Teritorial Cadastral), şi că membrii familiei (soțul/ soția, copiii şi/sau alte persoane întreținute) nu dețin în proprietate locuințe pe teritoriul Republicii Moldova şi peste hotarele ei, teren pentru construcția de locuințe, terenuri cu altă destinație sau casă construită capital în întovărășirile pomicole, precum şi nu au înstrăinat o locuință în ultimii 5 ani în Republica Moldova.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2C7"/>
    <w:multiLevelType w:val="hybridMultilevel"/>
    <w:tmpl w:val="2AFA0E20"/>
    <w:lvl w:ilvl="0" w:tplc="725CA086">
      <w:start w:val="1"/>
      <w:numFmt w:val="bullet"/>
      <w:lvlText w:val="-"/>
      <w:lvlJc w:val="left"/>
      <w:pPr>
        <w:ind w:left="720" w:hanging="360"/>
      </w:pPr>
      <w:rPr>
        <w:rFonts w:ascii="Calibri Light" w:eastAsia="Calibr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0BEF"/>
    <w:multiLevelType w:val="hybridMultilevel"/>
    <w:tmpl w:val="89D8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5D7C"/>
    <w:multiLevelType w:val="hybridMultilevel"/>
    <w:tmpl w:val="932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1E87"/>
    <w:multiLevelType w:val="hybridMultilevel"/>
    <w:tmpl w:val="D6CA9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F03"/>
    <w:multiLevelType w:val="hybridMultilevel"/>
    <w:tmpl w:val="7E669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C74A5"/>
    <w:multiLevelType w:val="hybridMultilevel"/>
    <w:tmpl w:val="1102D8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6DF597F"/>
    <w:multiLevelType w:val="hybridMultilevel"/>
    <w:tmpl w:val="34D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E473A"/>
    <w:multiLevelType w:val="hybridMultilevel"/>
    <w:tmpl w:val="49FE0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5019F"/>
    <w:multiLevelType w:val="multilevel"/>
    <w:tmpl w:val="295C2D2A"/>
    <w:lvl w:ilvl="0">
      <w:start w:val="1"/>
      <w:numFmt w:val="decimal"/>
      <w:lvlText w:val="%1."/>
      <w:lvlJc w:val="left"/>
      <w:pPr>
        <w:ind w:left="450" w:hanging="450"/>
      </w:pPr>
      <w:rPr>
        <w:rFonts w:hint="default"/>
        <w:b w:val="0"/>
        <w:i w:val="0"/>
      </w:rPr>
    </w:lvl>
    <w:lvl w:ilvl="1">
      <w:start w:val="1"/>
      <w:numFmt w:val="decimal"/>
      <w:lvlText w:val="%1.%2."/>
      <w:lvlJc w:val="left"/>
      <w:pPr>
        <w:ind w:left="1455" w:hanging="720"/>
      </w:pPr>
      <w:rPr>
        <w:rFonts w:hint="default"/>
        <w:b w:val="0"/>
        <w:i w:val="0"/>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15:restartNumberingAfterBreak="0">
    <w:nsid w:val="63494180"/>
    <w:multiLevelType w:val="hybridMultilevel"/>
    <w:tmpl w:val="171C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2F0FCB"/>
    <w:multiLevelType w:val="hybridMultilevel"/>
    <w:tmpl w:val="1AFC8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2"/>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E3"/>
    <w:rsid w:val="000107BA"/>
    <w:rsid w:val="00024F33"/>
    <w:rsid w:val="00035198"/>
    <w:rsid w:val="000C6EAC"/>
    <w:rsid w:val="000E4494"/>
    <w:rsid w:val="000E4FAE"/>
    <w:rsid w:val="000F1E21"/>
    <w:rsid w:val="00152F8E"/>
    <w:rsid w:val="00164B6A"/>
    <w:rsid w:val="001932B9"/>
    <w:rsid w:val="001B2FF2"/>
    <w:rsid w:val="001D6AEB"/>
    <w:rsid w:val="002834DA"/>
    <w:rsid w:val="002A28A9"/>
    <w:rsid w:val="002F63A8"/>
    <w:rsid w:val="003217C3"/>
    <w:rsid w:val="00386199"/>
    <w:rsid w:val="00431630"/>
    <w:rsid w:val="0048070D"/>
    <w:rsid w:val="004A0D51"/>
    <w:rsid w:val="005105B6"/>
    <w:rsid w:val="005349A6"/>
    <w:rsid w:val="00554B4D"/>
    <w:rsid w:val="00555302"/>
    <w:rsid w:val="005558E3"/>
    <w:rsid w:val="00567208"/>
    <w:rsid w:val="005F2865"/>
    <w:rsid w:val="005F44B5"/>
    <w:rsid w:val="00603057"/>
    <w:rsid w:val="00610B48"/>
    <w:rsid w:val="00617BA8"/>
    <w:rsid w:val="00653BA9"/>
    <w:rsid w:val="00662F29"/>
    <w:rsid w:val="00686F18"/>
    <w:rsid w:val="006B107A"/>
    <w:rsid w:val="007515C9"/>
    <w:rsid w:val="00782ED8"/>
    <w:rsid w:val="0079139F"/>
    <w:rsid w:val="007A1CA9"/>
    <w:rsid w:val="007B5376"/>
    <w:rsid w:val="007C4CCC"/>
    <w:rsid w:val="007F29C3"/>
    <w:rsid w:val="007F779F"/>
    <w:rsid w:val="008721AB"/>
    <w:rsid w:val="00880B0D"/>
    <w:rsid w:val="008D0EA9"/>
    <w:rsid w:val="008F096E"/>
    <w:rsid w:val="00910F26"/>
    <w:rsid w:val="009165CF"/>
    <w:rsid w:val="00971F57"/>
    <w:rsid w:val="00976882"/>
    <w:rsid w:val="009836A8"/>
    <w:rsid w:val="009A19BE"/>
    <w:rsid w:val="009C23F3"/>
    <w:rsid w:val="009C7DA8"/>
    <w:rsid w:val="009E06C1"/>
    <w:rsid w:val="00A704AD"/>
    <w:rsid w:val="00A946ED"/>
    <w:rsid w:val="00AB1C5F"/>
    <w:rsid w:val="00B2345D"/>
    <w:rsid w:val="00B37DB1"/>
    <w:rsid w:val="00BB1376"/>
    <w:rsid w:val="00BD62B0"/>
    <w:rsid w:val="00C26CB9"/>
    <w:rsid w:val="00C5228A"/>
    <w:rsid w:val="00C81058"/>
    <w:rsid w:val="00CB1CA1"/>
    <w:rsid w:val="00CB24F6"/>
    <w:rsid w:val="00D3198B"/>
    <w:rsid w:val="00D71FA2"/>
    <w:rsid w:val="00DE220C"/>
    <w:rsid w:val="00E01E60"/>
    <w:rsid w:val="00E70F17"/>
    <w:rsid w:val="00E959DF"/>
    <w:rsid w:val="00EC6BCB"/>
    <w:rsid w:val="00F44E9F"/>
    <w:rsid w:val="00F7130A"/>
    <w:rsid w:val="00FA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3CE6"/>
  <w15:docId w15:val="{C6E328FD-925E-4DE5-9565-E4A31F9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3519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35198"/>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styleId="a3">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a"/>
    <w:link w:val="a4"/>
    <w:uiPriority w:val="34"/>
    <w:qFormat/>
    <w:rsid w:val="00035198"/>
    <w:pPr>
      <w:ind w:left="720"/>
      <w:contextualSpacing/>
    </w:pPr>
    <w:rPr>
      <w:rFonts w:ascii="Calibri" w:eastAsia="Calibri" w:hAnsi="Calibri" w:cs="Times New Roman"/>
    </w:rPr>
  </w:style>
  <w:style w:type="character" w:customStyle="1" w:styleId="a4">
    <w:name w:val="Абзац списка Знак"/>
    <w:aliases w:val="List Paragraph 1 Знак,Абзац списка1 Знак,Scriptoria bullet points Знак,strikethrough Знак,standaard met opsomming Знак,List Paragraph1 Знак,Bullets Знак,References Знак,Liste 1 Знак,List Paragraph nowy Знак,Numbered List Paragraph Знак"/>
    <w:link w:val="a3"/>
    <w:uiPriority w:val="34"/>
    <w:rsid w:val="00035198"/>
    <w:rPr>
      <w:rFonts w:ascii="Calibri" w:eastAsia="Calibri" w:hAnsi="Calibri" w:cs="Times New Roman"/>
    </w:rPr>
  </w:style>
  <w:style w:type="paragraph" w:styleId="a5">
    <w:name w:val="footnote text"/>
    <w:basedOn w:val="a"/>
    <w:link w:val="a6"/>
    <w:uiPriority w:val="99"/>
    <w:semiHidden/>
    <w:unhideWhenUsed/>
    <w:rsid w:val="00035198"/>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035198"/>
    <w:rPr>
      <w:rFonts w:ascii="Calibri" w:eastAsia="Calibri" w:hAnsi="Calibri" w:cs="Times New Roman"/>
      <w:sz w:val="20"/>
      <w:szCs w:val="20"/>
    </w:rPr>
  </w:style>
  <w:style w:type="character" w:styleId="a7">
    <w:name w:val="footnote reference"/>
    <w:aliases w:val="ftref,Times 10 Point,Exposant 3 Point,Footnote symbol,Footnote reference number,EN Footnote Reference,note TESI,16 Point,Superscript 6 Point,BVI fnr,Footnote Text Char2,Char Char1,FOOTNOTES Char1,fn Char1,single space Char1,ft Char1,R"/>
    <w:basedOn w:val="a0"/>
    <w:link w:val="FNRefeCharChar"/>
    <w:uiPriority w:val="99"/>
    <w:unhideWhenUsed/>
    <w:rsid w:val="00035198"/>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035198"/>
    <w:pPr>
      <w:spacing w:line="240" w:lineRule="exact"/>
    </w:pPr>
    <w:rPr>
      <w:vertAlign w:val="superscript"/>
    </w:rPr>
  </w:style>
  <w:style w:type="table" w:styleId="a8">
    <w:name w:val="Table Grid"/>
    <w:basedOn w:val="a1"/>
    <w:uiPriority w:val="39"/>
    <w:rsid w:val="0003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035198"/>
    <w:rPr>
      <w:rFonts w:ascii="Times New Roman" w:eastAsia="Times New Roman" w:hAnsi="Times New Roman" w:cs="Times New Roman"/>
      <w:sz w:val="26"/>
      <w:szCs w:val="26"/>
      <w:shd w:val="clear" w:color="auto" w:fill="FFFFFF"/>
    </w:rPr>
  </w:style>
  <w:style w:type="character" w:customStyle="1" w:styleId="Bodytext285ptSpacing0pt">
    <w:name w:val="Body text (2) + 8;5 pt;Spacing 0 pt"/>
    <w:basedOn w:val="Bodytext2"/>
    <w:rsid w:val="00035198"/>
    <w:rPr>
      <w:rFonts w:ascii="Times New Roman" w:eastAsia="Times New Roman" w:hAnsi="Times New Roman" w:cs="Times New Roman"/>
      <w:color w:val="000000"/>
      <w:spacing w:val="10"/>
      <w:w w:val="100"/>
      <w:position w:val="0"/>
      <w:sz w:val="17"/>
      <w:szCs w:val="17"/>
      <w:shd w:val="clear" w:color="auto" w:fill="FFFFFF"/>
      <w:lang w:val="en-US" w:eastAsia="en-US" w:bidi="en-US"/>
    </w:rPr>
  </w:style>
  <w:style w:type="paragraph" w:customStyle="1" w:styleId="Bodytext20">
    <w:name w:val="Body text (2)"/>
    <w:basedOn w:val="a"/>
    <w:link w:val="Bodytext2"/>
    <w:rsid w:val="00035198"/>
    <w:pPr>
      <w:widowControl w:val="0"/>
      <w:shd w:val="clear" w:color="auto" w:fill="FFFFFF"/>
      <w:spacing w:before="1360" w:after="480" w:line="480" w:lineRule="exact"/>
      <w:ind w:firstLine="740"/>
      <w:jc w:val="both"/>
    </w:pPr>
    <w:rPr>
      <w:rFonts w:ascii="Times New Roman" w:eastAsia="Times New Roman" w:hAnsi="Times New Roman" w:cs="Times New Roman"/>
      <w:sz w:val="26"/>
      <w:szCs w:val="26"/>
    </w:rPr>
  </w:style>
  <w:style w:type="character" w:customStyle="1" w:styleId="Bodytext211ptBold">
    <w:name w:val="Body text (2) + 11 pt;Bold"/>
    <w:basedOn w:val="Bodytext2"/>
    <w:rsid w:val="00035198"/>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Bodytext275ptSpacing0pt">
    <w:name w:val="Body text (2) + 7;5 pt;Spacing 0 pt"/>
    <w:basedOn w:val="Bodytext2"/>
    <w:rsid w:val="00035198"/>
    <w:rPr>
      <w:rFonts w:ascii="Times New Roman" w:eastAsia="Times New Roman" w:hAnsi="Times New Roman" w:cs="Times New Roman"/>
      <w:color w:val="000000"/>
      <w:spacing w:val="10"/>
      <w:w w:val="100"/>
      <w:position w:val="0"/>
      <w:sz w:val="15"/>
      <w:szCs w:val="15"/>
      <w:shd w:val="clear" w:color="auto" w:fill="FFFFFF"/>
      <w:lang w:val="ru-RU" w:eastAsia="ru-RU" w:bidi="ru-RU"/>
    </w:rPr>
  </w:style>
  <w:style w:type="paragraph" w:styleId="a9">
    <w:name w:val="header"/>
    <w:basedOn w:val="a"/>
    <w:link w:val="aa"/>
    <w:uiPriority w:val="99"/>
    <w:unhideWhenUsed/>
    <w:rsid w:val="00CB1CA1"/>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CB1CA1"/>
  </w:style>
  <w:style w:type="paragraph" w:styleId="ab">
    <w:name w:val="footer"/>
    <w:basedOn w:val="a"/>
    <w:link w:val="ac"/>
    <w:uiPriority w:val="99"/>
    <w:unhideWhenUsed/>
    <w:rsid w:val="00CB1CA1"/>
    <w:pPr>
      <w:tabs>
        <w:tab w:val="center" w:pos="4844"/>
        <w:tab w:val="right" w:pos="9689"/>
      </w:tabs>
      <w:spacing w:after="0" w:line="240" w:lineRule="auto"/>
    </w:pPr>
  </w:style>
  <w:style w:type="character" w:customStyle="1" w:styleId="ac">
    <w:name w:val="Нижний колонтитул Знак"/>
    <w:basedOn w:val="a0"/>
    <w:link w:val="ab"/>
    <w:uiPriority w:val="99"/>
    <w:rsid w:val="00CB1CA1"/>
  </w:style>
  <w:style w:type="paragraph" w:styleId="ad">
    <w:name w:val="Balloon Text"/>
    <w:basedOn w:val="a"/>
    <w:link w:val="ae"/>
    <w:uiPriority w:val="99"/>
    <w:semiHidden/>
    <w:unhideWhenUsed/>
    <w:rsid w:val="006B107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B1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98089">
      <w:bodyDiv w:val="1"/>
      <w:marLeft w:val="0"/>
      <w:marRight w:val="0"/>
      <w:marTop w:val="0"/>
      <w:marBottom w:val="0"/>
      <w:divBdr>
        <w:top w:val="none" w:sz="0" w:space="0" w:color="auto"/>
        <w:left w:val="none" w:sz="0" w:space="0" w:color="auto"/>
        <w:bottom w:val="none" w:sz="0" w:space="0" w:color="auto"/>
        <w:right w:val="none" w:sz="0" w:space="0" w:color="auto"/>
      </w:divBdr>
    </w:div>
    <w:div w:id="442309903">
      <w:bodyDiv w:val="1"/>
      <w:marLeft w:val="0"/>
      <w:marRight w:val="0"/>
      <w:marTop w:val="0"/>
      <w:marBottom w:val="0"/>
      <w:divBdr>
        <w:top w:val="none" w:sz="0" w:space="0" w:color="auto"/>
        <w:left w:val="none" w:sz="0" w:space="0" w:color="auto"/>
        <w:bottom w:val="none" w:sz="0" w:space="0" w:color="auto"/>
        <w:right w:val="none" w:sz="0" w:space="0" w:color="auto"/>
      </w:divBdr>
    </w:div>
    <w:div w:id="696078128">
      <w:bodyDiv w:val="1"/>
      <w:marLeft w:val="0"/>
      <w:marRight w:val="0"/>
      <w:marTop w:val="0"/>
      <w:marBottom w:val="0"/>
      <w:divBdr>
        <w:top w:val="none" w:sz="0" w:space="0" w:color="auto"/>
        <w:left w:val="none" w:sz="0" w:space="0" w:color="auto"/>
        <w:bottom w:val="none" w:sz="0" w:space="0" w:color="auto"/>
        <w:right w:val="none" w:sz="0" w:space="0" w:color="auto"/>
      </w:divBdr>
    </w:div>
    <w:div w:id="907686567">
      <w:bodyDiv w:val="1"/>
      <w:marLeft w:val="0"/>
      <w:marRight w:val="0"/>
      <w:marTop w:val="0"/>
      <w:marBottom w:val="0"/>
      <w:divBdr>
        <w:top w:val="none" w:sz="0" w:space="0" w:color="auto"/>
        <w:left w:val="none" w:sz="0" w:space="0" w:color="auto"/>
        <w:bottom w:val="none" w:sz="0" w:space="0" w:color="auto"/>
        <w:right w:val="none" w:sz="0" w:space="0" w:color="auto"/>
      </w:divBdr>
    </w:div>
    <w:div w:id="11784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2B94-F0E1-401C-94D2-A9CAC185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2293</Words>
  <Characters>13305</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Tabacari Maria</dc:creator>
  <cp:lastModifiedBy>User</cp:lastModifiedBy>
  <cp:revision>3</cp:revision>
  <cp:lastPrinted>2023-02-23T13:10:00Z</cp:lastPrinted>
  <dcterms:created xsi:type="dcterms:W3CDTF">2023-06-02T08:08:00Z</dcterms:created>
  <dcterms:modified xsi:type="dcterms:W3CDTF">2023-06-02T08:10:00Z</dcterms:modified>
</cp:coreProperties>
</file>