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D" w:rsidRDefault="008E569D"/>
    <w:p w:rsidR="008E569D" w:rsidRDefault="0064098A">
      <w:pPr>
        <w:pStyle w:val="1"/>
        <w:numPr>
          <w:ilvl w:val="0"/>
          <w:numId w:val="0"/>
        </w:numPr>
        <w:tabs>
          <w:tab w:val="right" w:pos="567"/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B.PROIECT DE CONTRAC</w:t>
      </w:r>
      <w:r w:rsidR="007E2217">
        <w:rPr>
          <w:rFonts w:ascii="Times New Roman" w:hAnsi="Times New Roman" w:cs="Times New Roman"/>
          <w:i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ȘI CONDIȚII SPECIALE, INCLUSIV ANEXE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>
        <w:br w:type="page"/>
      </w:r>
    </w:p>
    <w:p w:rsidR="008E569D" w:rsidRDefault="008E56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E569D" w:rsidRPr="00883098" w:rsidRDefault="0064098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iCs/>
          <w:sz w:val="28"/>
          <w:szCs w:val="28"/>
          <w:lang w:val="ro-MD"/>
        </w:rPr>
        <w:t>PROIECT DE CONTRACT</w:t>
      </w:r>
    </w:p>
    <w:p w:rsidR="008E569D" w:rsidRPr="00883098" w:rsidRDefault="008E569D">
      <w:pPr>
        <w:rPr>
          <w:rFonts w:ascii="Times New Roman" w:hAnsi="Times New Roman" w:cs="Times New Roman"/>
          <w:iCs/>
          <w:sz w:val="28"/>
          <w:szCs w:val="28"/>
          <w:lang w:val="ro-MD"/>
        </w:rPr>
      </w:pP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 xml:space="preserve">CONTRACTUL DE FURNIZARE PENTRU EUROPEAN </w:t>
      </w:r>
    </w:p>
    <w:p w:rsidR="008E569D" w:rsidRPr="00883098" w:rsidRDefault="0064098A">
      <w:pPr>
        <w:pStyle w:val="oddl-nadpis"/>
        <w:keepNext w:val="0"/>
        <w:widowControl/>
        <w:jc w:val="center"/>
        <w:rPr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>ACȚIUNI EXTERNE UNIUNII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b w:val="0"/>
          <w:smallCaps/>
          <w:sz w:val="28"/>
          <w:szCs w:val="28"/>
          <w:lang w:val="ro-MD"/>
        </w:rPr>
        <w:t>N</w:t>
      </w:r>
      <w:r w:rsidRPr="00883098">
        <w:rPr>
          <w:rFonts w:ascii="Times New Roman" w:hAnsi="Times New Roman" w:cs="Times New Roman"/>
          <w:smallCaps/>
          <w:sz w:val="28"/>
          <w:szCs w:val="28"/>
          <w:lang w:val="ro-MD"/>
        </w:rPr>
        <w:t xml:space="preserve">o 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&lt;</w:t>
      </w:r>
      <w:r w:rsidRPr="00883098">
        <w:rPr>
          <w:rFonts w:ascii="Times New Roman" w:hAnsi="Times New Roman" w:cs="Times New Roman"/>
          <w:b w:val="0"/>
          <w:sz w:val="28"/>
          <w:szCs w:val="28"/>
          <w:highlight w:val="yellow"/>
          <w:lang w:val="ro-MD"/>
        </w:rPr>
        <w:t>Număr de contact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&gt;</w:t>
      </w:r>
    </w:p>
    <w:p w:rsidR="008E569D" w:rsidRPr="00883098" w:rsidRDefault="008E569D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E569D" w:rsidRPr="00883098" w:rsidRDefault="00883098">
      <w:pPr>
        <w:spacing w:after="720"/>
        <w:jc w:val="center"/>
        <w:rPr>
          <w:rFonts w:ascii="Times New Roman" w:hAnsi="Times New Roman" w:cs="Times New Roman"/>
          <w:b/>
          <w:smallCaps/>
          <w:sz w:val="28"/>
          <w:lang w:val="ro-MD"/>
        </w:rPr>
      </w:pPr>
      <w:r w:rsidRPr="00883098">
        <w:rPr>
          <w:rFonts w:ascii="Times New Roman" w:hAnsi="Times New Roman" w:cs="Times New Roman"/>
          <w:b/>
          <w:smallCaps/>
          <w:sz w:val="28"/>
          <w:lang w:val="ro-MD"/>
        </w:rPr>
        <w:t xml:space="preserve">finanţat din </w:t>
      </w:r>
      <w:r w:rsidR="0064098A" w:rsidRPr="00883098">
        <w:rPr>
          <w:rFonts w:ascii="Times New Roman" w:hAnsi="Times New Roman" w:cs="Times New Roman"/>
          <w:b/>
          <w:smallCaps/>
          <w:sz w:val="28"/>
          <w:lang w:val="ro-MD"/>
        </w:rPr>
        <w:t>Bugetul general al UE</w:t>
      </w:r>
    </w:p>
    <w:p w:rsidR="00883098" w:rsidRPr="00883098" w:rsidRDefault="00883098" w:rsidP="00883098">
      <w:pPr>
        <w:pStyle w:val="af1"/>
        <w:snapToGrid w:val="0"/>
        <w:ind w:left="644"/>
        <w:rPr>
          <w:b/>
          <w:sz w:val="22"/>
          <w:szCs w:val="22"/>
          <w:lang w:val="ro-MD"/>
        </w:rPr>
      </w:pPr>
      <w:r w:rsidRPr="00883098">
        <w:rPr>
          <w:b/>
          <w:sz w:val="22"/>
          <w:szCs w:val="22"/>
          <w:lang w:val="ro-MD"/>
        </w:rPr>
        <w:t xml:space="preserve">Consiliul Raional Hînceşti </w:t>
      </w: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  <w:r w:rsidRPr="00883098">
        <w:rPr>
          <w:sz w:val="22"/>
          <w:szCs w:val="22"/>
          <w:lang w:val="ro-MD"/>
        </w:rPr>
        <w:t xml:space="preserve">Republica Moldova, str. Mihalcea Hîncu nr.138, MD – 3401, municipiul Hînceşti, Raionul </w:t>
      </w:r>
      <w:r>
        <w:rPr>
          <w:sz w:val="22"/>
          <w:szCs w:val="22"/>
          <w:lang w:val="ro-MD"/>
        </w:rPr>
        <w:t>Hînceşti, reprezentată de către Iurie Levinschi, Președintele raionului Hîncești</w:t>
      </w:r>
    </w:p>
    <w:p w:rsidR="008E569D" w:rsidRPr="00883098" w:rsidRDefault="00883098" w:rsidP="00883098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64098A" w:rsidRPr="00883098">
        <w:rPr>
          <w:rFonts w:ascii="Times New Roman" w:hAnsi="Times New Roman" w:cs="Times New Roman"/>
          <w:sz w:val="22"/>
          <w:szCs w:val="22"/>
          <w:lang w:val="ro-MD"/>
        </w:rPr>
        <w:t>(„Autoritatea Contractantă”),</w:t>
      </w:r>
    </w:p>
    <w:p w:rsidR="008E569D" w:rsidRPr="00883098" w:rsidRDefault="0064098A">
      <w:pPr>
        <w:spacing w:before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o parte,</w:t>
      </w:r>
    </w:p>
    <w:p w:rsidR="008E569D" w:rsidRPr="00883098" w:rsidRDefault="0064098A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și</w:t>
      </w:r>
    </w:p>
    <w:p w:rsidR="008E569D" w:rsidRPr="00883098" w:rsidRDefault="0064098A">
      <w:pPr>
        <w:spacing w:before="24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Numele oficial complet al Antreprenorului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&gt; </w:t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[&lt;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Statut juridic/titlu&gt;]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1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oficial de înregistrare&gt;]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2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&lt;Adresa oficială completă&gt;</w:t>
      </w:r>
    </w:p>
    <w:p w:rsidR="008E569D" w:rsidRPr="00883098" w:rsidRDefault="0064098A">
      <w:pPr>
        <w:spacing w:before="0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de TVA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lang w:val="ro-MD"/>
        </w:rPr>
        <w:footnoteReference w:id="3"/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, („antreprenorul”)</w:t>
      </w:r>
    </w:p>
    <w:p w:rsidR="008E569D" w:rsidRPr="00883098" w:rsidRDefault="006409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cealalta parte,</w:t>
      </w:r>
    </w:p>
    <w:p w:rsidR="008E569D" w:rsidRPr="00883098" w:rsidRDefault="008E569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</w:p>
    <w:p w:rsidR="008E569D" w:rsidRPr="00883098" w:rsidRDefault="0064098A">
      <w:pPr>
        <w:spacing w:before="0" w:after="24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au convenit după cum urmează:</w:t>
      </w:r>
    </w:p>
    <w:p w:rsidR="00AE1E76" w:rsidRPr="00A930F8" w:rsidRDefault="00AE1E76" w:rsidP="00AE1E76">
      <w:pPr>
        <w:pStyle w:val="PRAGHeading2"/>
        <w:numPr>
          <w:ilvl w:val="0"/>
          <w:numId w:val="0"/>
        </w:numPr>
        <w:jc w:val="center"/>
        <w:rPr>
          <w:b/>
          <w:lang w:val="ro-RO"/>
        </w:rPr>
      </w:pPr>
      <w:r w:rsidRPr="00A930F8">
        <w:rPr>
          <w:b/>
          <w:lang w:val="ro-RO"/>
        </w:rPr>
        <w:t>THE PAST HAS A NEW FUTURE – Cross-border cooperation for the valorization of the cultural heritage in Galati, Romania and Hincesti, Republic of Moldova”</w:t>
      </w:r>
      <w:r w:rsidRPr="00A930F8">
        <w:rPr>
          <w:rStyle w:val="StrongEmphasis"/>
          <w:szCs w:val="24"/>
          <w:lang w:val="ro-RO"/>
        </w:rPr>
        <w:t xml:space="preserve"> /„TRECUTUL ARE UN NOU VIITOR - Cooperare transfrontalieră pentru valorificarea patrimoniului cultural din Galați, România, și Hîncești, Republica Moldova”</w:t>
      </w:r>
      <w:r w:rsidRPr="00A930F8">
        <w:rPr>
          <w:b/>
          <w:lang w:val="ro-RO"/>
        </w:rPr>
        <w:t>, 1HARD/2.1/25.</w:t>
      </w:r>
    </w:p>
    <w:p w:rsidR="00883098" w:rsidRPr="00883098" w:rsidRDefault="00883098" w:rsidP="00883098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8"/>
          <w:lang w:val="ro-MD"/>
        </w:rPr>
        <w:t xml:space="preserve">TITLUL CONTRACTULUI: 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 xml:space="preserve">Achiziționarea echipamentului de birou </w:t>
      </w:r>
    </w:p>
    <w:p w:rsidR="00883098" w:rsidRPr="00883098" w:rsidRDefault="0064098A" w:rsidP="00883098">
      <w:pPr>
        <w:pStyle w:val="Blockquote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2"/>
          <w:lang w:val="ro-MD"/>
        </w:rPr>
      </w:pPr>
      <w:r w:rsidRPr="00883098">
        <w:rPr>
          <w:rFonts w:ascii="Times New Roman" w:hAnsi="Times New Roman" w:cs="Times New Roman"/>
          <w:b/>
          <w:sz w:val="22"/>
          <w:lang w:val="ro-MD"/>
        </w:rPr>
        <w:t xml:space="preserve">Numar de identificare </w:t>
      </w:r>
      <w:r w:rsidR="00883098" w:rsidRPr="00883098">
        <w:rPr>
          <w:rFonts w:ascii="Times New Roman" w:hAnsi="Times New Roman" w:cs="Times New Roman"/>
          <w:b/>
          <w:sz w:val="22"/>
          <w:lang w:val="ro-MD"/>
        </w:rPr>
        <w:t>OE4.2.1</w:t>
      </w:r>
    </w:p>
    <w:p w:rsidR="008E569D" w:rsidRPr="00883098" w:rsidRDefault="0064098A" w:rsidP="00883098">
      <w:pPr>
        <w:spacing w:before="24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1 Subiect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883098" w:rsidP="00883098">
      <w:pPr>
        <w:pStyle w:val="af1"/>
        <w:numPr>
          <w:ilvl w:val="1"/>
          <w:numId w:val="5"/>
        </w:numPr>
        <w:tabs>
          <w:tab w:val="left" w:pos="709"/>
        </w:tabs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contractului:</w:t>
      </w: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b/>
          <w:sz w:val="22"/>
          <w:lang w:val="ro-MD"/>
        </w:rPr>
      </w:pP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prezentului contract este achiziționarea echipamentului de birou: tablete și laptopuri pentru echipa de proiect.</w:t>
      </w:r>
    </w:p>
    <w:p w:rsidR="008E569D" w:rsidRPr="00883098" w:rsidRDefault="0064098A">
      <w:pPr>
        <w:spacing w:before="240" w:after="240"/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lastRenderedPageBreak/>
        <w:t>:</w:t>
      </w:r>
    </w:p>
    <w:p w:rsidR="008E569D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Descrierea generală</w:t>
      </w:r>
      <w:r w:rsidR="0064098A" w:rsidRPr="00883098">
        <w:rPr>
          <w:rFonts w:ascii="Times New Roman" w:hAnsi="Times New Roman" w:cs="Times New Roman"/>
          <w:sz w:val="24"/>
          <w:lang w:val="ro-MD"/>
        </w:rPr>
        <w:t>, inclusiv cantitățile</w:t>
      </w:r>
      <w:r w:rsidRPr="00883098">
        <w:rPr>
          <w:rFonts w:ascii="Times New Roman" w:hAnsi="Times New Roman" w:cs="Times New Roman"/>
          <w:sz w:val="24"/>
          <w:lang w:val="ro-MD"/>
        </w:rPr>
        <w:t>:</w:t>
      </w:r>
    </w:p>
    <w:p w:rsidR="00883098" w:rsidRPr="00883098" w:rsidRDefault="00883098" w:rsidP="00883098">
      <w:pPr>
        <w:pStyle w:val="2"/>
        <w:keepNext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Laptop (2 buc);</w:t>
      </w:r>
    </w:p>
    <w:p w:rsidR="00883098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2"/>
          <w:lang w:val="ro-MD"/>
        </w:rPr>
      </w:pPr>
      <w:bookmarkStart w:id="0" w:name="_GoBack"/>
      <w:bookmarkEnd w:id="0"/>
    </w:p>
    <w:p w:rsidR="008E569D" w:rsidRPr="00883098" w:rsidRDefault="00883098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Locul de acceptare a bunurilor este municipiul Hîncești, termenul de livrare este de maxim 30 zile. Perioada de implementare a sarcinilor începe de la data semnării acestui contract de către ambele părți până la maxim 30 zile după ce a fost semnat contractul.</w:t>
      </w:r>
    </w:p>
    <w:p w:rsidR="008E569D" w:rsidRPr="00883098" w:rsidRDefault="008E569D" w:rsidP="00883098">
      <w:pPr>
        <w:ind w:left="709" w:hanging="709"/>
        <w:jc w:val="both"/>
        <w:rPr>
          <w:lang w:val="ro-MD"/>
        </w:rPr>
      </w:pP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2 Originea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 w:rsidP="00883098">
      <w:pPr>
        <w:ind w:left="567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Regulile de origine ale mărfurilor sunt definite la articolul 10 din Condițiile speciale. 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3 Preț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3.1 </w:t>
      </w:r>
      <w:r w:rsidR="00883098" w:rsidRPr="00883098">
        <w:rPr>
          <w:rFonts w:ascii="Times New Roman" w:hAnsi="Times New Roman" w:cs="Times New Roman"/>
          <w:sz w:val="22"/>
          <w:lang w:val="ro-MD"/>
        </w:rPr>
        <w:t xml:space="preserve">Prețul bunurilor este cel indicat în oferta financiară (vezi anexa III_Partea B). </w:t>
      </w:r>
    </w:p>
    <w:p w:rsidR="008E569D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3.2 Plățile vor fi efectuate în conformitate cu Condițiile generale și/sau speciale (articolele 26 până la 28).</w:t>
      </w:r>
      <w:r w:rsidRPr="00883098">
        <w:rPr>
          <w:rFonts w:ascii="Times New Roman" w:hAnsi="Times New Roman" w:cs="Times New Roman"/>
          <w:sz w:val="22"/>
          <w:lang w:val="ro-MD"/>
        </w:rPr>
        <w:tab/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4 Ordinea de prioritate a documentelor contractuale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>
      <w:pPr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este alcătuit din următoarele documente, în ordinea de prioritate: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contractual;</w:t>
      </w:r>
    </w:p>
    <w:p w:rsidR="008E569D" w:rsidRPr="00883098" w:rsidRDefault="00883098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 Speciale</w:t>
      </w:r>
      <w:r>
        <w:rPr>
          <w:rFonts w:ascii="Times New Roman" w:hAnsi="Times New Roman" w:cs="Times New Roman"/>
          <w:sz w:val="22"/>
          <w:lang w:val="ro-MD"/>
        </w:rPr>
        <w:t>,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 generale (Anexa I);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Specificațiile tehnice (Anexa II [inclusiv clarificări înainte de termenul limită de depunere a ofertelor și proces-verbal de la ședința de informare/vizita la fața locului]);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Oferta tehnică (Anexa III</w:t>
      </w:r>
      <w:r w:rsidRPr="00883098">
        <w:rPr>
          <w:rFonts w:ascii="Times New Roman" w:hAnsi="Times New Roman" w:cs="Times New Roman"/>
          <w:sz w:val="22"/>
          <w:highlight w:val="lightGray"/>
          <w:lang w:val="ro-MD"/>
        </w:rPr>
        <w:t>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defalcarea bugetului (Anexa IV);</w:t>
      </w:r>
    </w:p>
    <w:p w:rsidR="008E569D" w:rsidRPr="00883098" w:rsidRDefault="00883098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>
        <w:rPr>
          <w:rFonts w:ascii="Times New Roman" w:hAnsi="Times New Roman" w:cs="Times New Roman"/>
          <w:sz w:val="22"/>
          <w:lang w:val="ro-MD"/>
        </w:rPr>
        <w:t xml:space="preserve">alte </w:t>
      </w:r>
      <w:r w:rsidR="0064098A" w:rsidRPr="00883098">
        <w:rPr>
          <w:rFonts w:ascii="Times New Roman" w:hAnsi="Times New Roman" w:cs="Times New Roman"/>
          <w:sz w:val="22"/>
          <w:lang w:val="ro-MD"/>
        </w:rPr>
        <w:t>formulare specificate și documente relevante;</w:t>
      </w:r>
    </w:p>
    <w:p w:rsidR="008E569D" w:rsidRPr="00883098" w:rsidRDefault="0064098A">
      <w:pPr>
        <w:jc w:val="both"/>
        <w:outlineLvl w:val="0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Diferitele documente care compun contractul sunt considerate a fi reciproc explicative; în cazuri de ambiguitate sau divergență, acestea vor prevala în ordinea în care apar mai sus.</w:t>
      </w:r>
    </w:p>
    <w:p w:rsidR="008E569D" w:rsidRPr="00883098" w:rsidRDefault="008E569D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lang w:val="ro-MD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E569D" w:rsidRPr="00883098">
        <w:trPr>
          <w:trHeight w:val="520"/>
        </w:trPr>
        <w:tc>
          <w:tcPr>
            <w:tcW w:w="4253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Antreprenor</w:t>
            </w:r>
          </w:p>
        </w:tc>
        <w:tc>
          <w:tcPr>
            <w:tcW w:w="4358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Autoritatea Contractanta</w:t>
            </w:r>
          </w:p>
        </w:tc>
      </w:tr>
      <w:tr w:rsidR="008E569D" w:rsidRPr="00883098">
        <w:trPr>
          <w:cantSplit/>
          <w:trHeight w:val="555"/>
        </w:trPr>
        <w:tc>
          <w:tcPr>
            <w:tcW w:w="1985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577"/>
        </w:trPr>
        <w:tc>
          <w:tcPr>
            <w:tcW w:w="1985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87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42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</w:tbl>
    <w:p w:rsidR="008E569D" w:rsidRPr="00883098" w:rsidRDefault="008E569D">
      <w:pPr>
        <w:ind w:left="567"/>
        <w:rPr>
          <w:lang w:val="ro-MD"/>
        </w:rPr>
      </w:pPr>
    </w:p>
    <w:sectPr w:rsidR="008E569D" w:rsidRPr="00883098">
      <w:headerReference w:type="default" r:id="rId7"/>
      <w:footerReference w:type="default" r:id="rId8"/>
      <w:pgSz w:w="11906" w:h="16838"/>
      <w:pgMar w:top="1134" w:right="1418" w:bottom="1134" w:left="1701" w:header="720" w:footer="4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E9" w:rsidRDefault="007166E9">
      <w:pPr>
        <w:spacing w:before="0" w:after="0"/>
      </w:pPr>
      <w:r>
        <w:separator/>
      </w:r>
    </w:p>
  </w:endnote>
  <w:endnote w:type="continuationSeparator" w:id="0">
    <w:p w:rsidR="007166E9" w:rsidRDefault="007166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64098A">
    <w:pPr>
      <w:pStyle w:val="ad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sz w:val="18"/>
        <w:szCs w:val="18"/>
        <w:lang w:val="en-GB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/>
      </w:rPr>
      <w:t xml:space="preserve"> 2016</w:t>
    </w:r>
    <w:r>
      <w:rPr>
        <w:rFonts w:ascii="Times New Roman" w:hAnsi="Times New Roman" w:cs="Times New Roman"/>
        <w:sz w:val="18"/>
        <w:szCs w:val="18"/>
        <w:lang w:val="en-GB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AE1E76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de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AE1E76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8E569D" w:rsidRDefault="0064098A">
    <w:pPr>
      <w:pStyle w:val="ad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FILENAME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36bb5ce4-2bbf-4f75-8a2f-0d248b6177bb.doc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E9" w:rsidRDefault="007166E9">
      <w:pPr>
        <w:rPr>
          <w:sz w:val="12"/>
        </w:rPr>
      </w:pPr>
      <w:r>
        <w:separator/>
      </w:r>
    </w:p>
  </w:footnote>
  <w:footnote w:type="continuationSeparator" w:id="0">
    <w:p w:rsidR="007166E9" w:rsidRDefault="007166E9">
      <w:pPr>
        <w:rPr>
          <w:sz w:val="12"/>
        </w:rPr>
      </w:pPr>
      <w:r>
        <w:continuationSeparator/>
      </w:r>
    </w:p>
  </w:footnote>
  <w:footnote w:id="1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persoană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fizică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</w:footnote>
  <w:footnote w:id="2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Acolo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persoane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menționați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cartea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identitate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pașaportul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documentul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echivalent</w:t>
      </w:r>
      <w:proofErr w:type="spellEnd"/>
      <w:r>
        <w:rPr>
          <w:rFonts w:ascii="Times New Roman" w:hAnsi="Times New Roman" w:cs="Times New Roman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lang w:val="en-GB"/>
        </w:rPr>
        <w:t>număr</w:t>
      </w:r>
      <w:proofErr w:type="spellEnd"/>
    </w:p>
  </w:footnote>
  <w:footnote w:id="3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 xml:space="preserve">Cu </w:t>
      </w:r>
      <w:proofErr w:type="spellStart"/>
      <w:r>
        <w:rPr>
          <w:rFonts w:ascii="Times New Roman" w:hAnsi="Times New Roman" w:cs="Times New Roman"/>
          <w:lang w:val="en-GB"/>
        </w:rPr>
        <w:t>excepția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înregistrată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scopuri</w:t>
      </w:r>
      <w:proofErr w:type="spellEnd"/>
      <w:r>
        <w:rPr>
          <w:rFonts w:ascii="Times New Roman" w:hAnsi="Times New Roman" w:cs="Times New Roman"/>
          <w:lang w:val="en-GB"/>
        </w:rPr>
        <w:t xml:space="preserve">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8E56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26"/>
    <w:multiLevelType w:val="multilevel"/>
    <w:tmpl w:val="A2984C76"/>
    <w:lvl w:ilvl="0">
      <w:start w:val="1"/>
      <w:numFmt w:val="decimal"/>
      <w:pStyle w:val="bulletsub"/>
      <w:lvlText w:val="?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53FD"/>
    <w:multiLevelType w:val="multilevel"/>
    <w:tmpl w:val="A4F26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B32AEE"/>
    <w:multiLevelType w:val="hybridMultilevel"/>
    <w:tmpl w:val="9084892A"/>
    <w:lvl w:ilvl="0" w:tplc="A57E7EC0">
      <w:start w:val="1"/>
      <w:numFmt w:val="lowerLetter"/>
      <w:lvlText w:val="(%1)"/>
      <w:lvlJc w:val="left"/>
      <w:pPr>
        <w:ind w:left="109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95336"/>
    <w:multiLevelType w:val="multilevel"/>
    <w:tmpl w:val="050AC81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4860C1"/>
    <w:multiLevelType w:val="multilevel"/>
    <w:tmpl w:val="123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D"/>
    <w:rsid w:val="002E43A5"/>
    <w:rsid w:val="0064098A"/>
    <w:rsid w:val="007166E9"/>
    <w:rsid w:val="00793F6A"/>
    <w:rsid w:val="007E2217"/>
    <w:rsid w:val="00883098"/>
    <w:rsid w:val="008E569D"/>
    <w:rsid w:val="00AE1E76"/>
    <w:rsid w:val="00BB0D24"/>
    <w:rsid w:val="00C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613B4-5E80-46CF-A689-64CE71C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</w:pPr>
    <w:rPr>
      <w:rFonts w:ascii="Arial" w:eastAsia="Times New Roman" w:hAnsi="Arial" w:cs="Arial"/>
      <w:sz w:val="20"/>
      <w:szCs w:val="20"/>
      <w:lang w:val="sv-S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lang w:val="en-GB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 w:val="0"/>
      <w:i w:val="0"/>
      <w:sz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z w:val="22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hAnsi="Arial" w:cs="Arial"/>
      <w:b w:val="0"/>
      <w:i w:val="0"/>
      <w:sz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i/>
      <w:sz w:val="28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i w:val="0"/>
      <w:sz w:val="20"/>
    </w:rPr>
  </w:style>
  <w:style w:type="character" w:customStyle="1" w:styleId="WW8Num33z1">
    <w:name w:val="WW8Num33z1"/>
    <w:qFormat/>
    <w:rPr>
      <w:rFonts w:ascii="Arial" w:hAnsi="Arial" w:cs="Arial"/>
      <w:b w:val="0"/>
      <w:i w:val="0"/>
      <w:sz w:val="2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Times New Roman" w:hAnsi="Times New Roman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St38z0">
    <w:name w:val="WW8NumSt38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Emphasis"/>
    <w:qFormat/>
    <w:rPr>
      <w:i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lang w:val="fr-BE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7"/>
    <w:qFormat/>
    <w:pPr>
      <w:jc w:val="center"/>
    </w:pPr>
    <w:rPr>
      <w:b/>
      <w:sz w:val="28"/>
      <w:lang w:val="fr-BE"/>
    </w:rPr>
  </w:style>
  <w:style w:type="paragraph" w:styleId="ab">
    <w:name w:val="Body Text Indent"/>
    <w:basedOn w:val="a"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styleId="20">
    <w:name w:val="Body Text Indent 2"/>
    <w:basedOn w:val="a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line="240" w:lineRule="exact"/>
      <w:jc w:val="both"/>
    </w:pPr>
    <w:rPr>
      <w:b/>
      <w:sz w:val="24"/>
      <w:lang w:val="en-GB"/>
    </w:rPr>
  </w:style>
  <w:style w:type="paragraph" w:styleId="ae">
    <w:name w:val="footnote text"/>
    <w:basedOn w:val="a"/>
    <w:rPr>
      <w:lang w:val="fr-FR"/>
    </w:rPr>
  </w:style>
  <w:style w:type="paragraph" w:styleId="af">
    <w:name w:val="Document Map"/>
    <w:basedOn w:val="a"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qFormat/>
    <w:pPr>
      <w:numPr>
        <w:numId w:val="3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a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qFormat/>
    <w:pPr>
      <w:spacing w:before="240"/>
      <w:ind w:left="1701"/>
      <w:jc w:val="right"/>
    </w:pPr>
    <w:rPr>
      <w:rFonts w:ascii="Optima" w:hAnsi="Optima" w:cs="Optima"/>
      <w:b/>
      <w:sz w:val="28"/>
      <w:lang w:val="en-GB"/>
    </w:rPr>
  </w:style>
  <w:style w:type="paragraph" w:styleId="10">
    <w:name w:val="toc 1"/>
    <w:basedOn w:val="a"/>
    <w:next w:val="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lang w:val="en-US" w:eastAsia="en-US"/>
    </w:rPr>
  </w:style>
  <w:style w:type="paragraph" w:styleId="21">
    <w:name w:val="toc 2"/>
    <w:basedOn w:val="a"/>
    <w:next w:val="a"/>
    <w:pPr>
      <w:spacing w:before="0" w:after="0"/>
      <w:ind w:left="200"/>
    </w:pPr>
    <w:rPr>
      <w:rFonts w:ascii="Times New Roman" w:hAnsi="Times New Roman" w:cs="Times New Roman"/>
      <w:smallCaps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pPr>
      <w:spacing w:before="0" w:after="0"/>
      <w:ind w:left="400"/>
    </w:pPr>
    <w:rPr>
      <w:rFonts w:ascii="Times New Roman" w:hAnsi="Times New Roman" w:cs="Times New Roman"/>
      <w:i/>
    </w:rPr>
  </w:style>
  <w:style w:type="paragraph" w:styleId="40">
    <w:name w:val="toc 4"/>
    <w:basedOn w:val="a"/>
    <w:next w:val="a"/>
    <w:pPr>
      <w:spacing w:before="0" w:after="0"/>
      <w:ind w:left="600"/>
    </w:pPr>
    <w:rPr>
      <w:rFonts w:ascii="Times New Roman" w:hAnsi="Times New Roman" w:cs="Times New Roman"/>
      <w:sz w:val="18"/>
    </w:rPr>
  </w:style>
  <w:style w:type="paragraph" w:styleId="50">
    <w:name w:val="toc 5"/>
    <w:basedOn w:val="a"/>
    <w:next w:val="a"/>
    <w:pPr>
      <w:spacing w:before="0" w:after="0"/>
      <w:ind w:left="800"/>
    </w:pPr>
    <w:rPr>
      <w:rFonts w:ascii="Times New Roman" w:hAnsi="Times New Roman" w:cs="Times New Roman"/>
      <w:sz w:val="18"/>
    </w:rPr>
  </w:style>
  <w:style w:type="paragraph" w:styleId="60">
    <w:name w:val="toc 6"/>
    <w:basedOn w:val="a"/>
    <w:next w:val="a"/>
    <w:pPr>
      <w:spacing w:before="0" w:after="0"/>
      <w:ind w:left="1000"/>
    </w:pPr>
    <w:rPr>
      <w:rFonts w:ascii="Times New Roman" w:hAnsi="Times New Roman" w:cs="Times New Roman"/>
      <w:sz w:val="18"/>
    </w:rPr>
  </w:style>
  <w:style w:type="paragraph" w:styleId="70">
    <w:name w:val="toc 7"/>
    <w:basedOn w:val="a"/>
    <w:next w:val="a"/>
    <w:pPr>
      <w:spacing w:before="0" w:after="0"/>
      <w:ind w:left="1200"/>
    </w:pPr>
    <w:rPr>
      <w:rFonts w:ascii="Times New Roman" w:hAnsi="Times New Roman" w:cs="Times New Roman"/>
      <w:sz w:val="18"/>
    </w:rPr>
  </w:style>
  <w:style w:type="paragraph" w:styleId="80">
    <w:name w:val="toc 8"/>
    <w:basedOn w:val="a"/>
    <w:next w:val="a"/>
    <w:pPr>
      <w:spacing w:before="0" w:after="0"/>
      <w:ind w:left="1400"/>
    </w:pPr>
    <w:rPr>
      <w:rFonts w:ascii="Times New Roman" w:hAnsi="Times New Roman" w:cs="Times New Roman"/>
      <w:sz w:val="18"/>
    </w:rPr>
  </w:style>
  <w:style w:type="paragraph" w:styleId="90">
    <w:name w:val="toc 9"/>
    <w:basedOn w:val="a"/>
    <w:next w:val="a"/>
    <w:pPr>
      <w:spacing w:before="0" w:after="0"/>
      <w:ind w:left="1600"/>
    </w:pPr>
    <w:rPr>
      <w:rFonts w:ascii="Times New Roman" w:hAnsi="Times New Roman" w:cs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Section">
    <w:name w:val="Section"/>
    <w:basedOn w:val="a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qFormat/>
    <w:pPr>
      <w:ind w:lef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22">
    <w:name w:val="Body Text 2"/>
    <w:basedOn w:val="a"/>
    <w:qFormat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customStyle="1" w:styleId="oddl-nadpis">
    <w:name w:val="oddíl-nadpis"/>
    <w:basedOn w:val="a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en-GB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StyleNum">
    <w:name w:val="WW8StyleNum"/>
    <w:qFormat/>
  </w:style>
  <w:style w:type="paragraph" w:styleId="af1">
    <w:name w:val="List Paragraph"/>
    <w:basedOn w:val="a"/>
    <w:qFormat/>
    <w:rsid w:val="00883098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customStyle="1" w:styleId="PRAGHeading2">
    <w:name w:val="PRAG Heading 2"/>
    <w:basedOn w:val="a"/>
    <w:qFormat/>
    <w:rsid w:val="00883098"/>
    <w:pPr>
      <w:widowControl w:val="0"/>
      <w:numPr>
        <w:numId w:val="4"/>
      </w:numPr>
      <w:spacing w:before="100" w:after="10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2021-12-01T06:58:00Z</dcterms:created>
  <dcterms:modified xsi:type="dcterms:W3CDTF">2023-02-27T07:51:00Z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2012-09-24T11:10:00Z</dcterms:created>
  <dc:creator>BOURDILLEAU Anne (DEVCO)</dc:creator>
  <dc:description/>
  <cp:keywords> </cp:keywords>
  <dc:language>en-US</dc:language>
  <cp:lastModifiedBy>DUBOIS Laurence (DEVCO)</cp:lastModifiedBy>
  <cp:lastPrinted>2012-10-22T11:58:00Z</cp:lastPrinted>
  <dcterms:modified xsi:type="dcterms:W3CDTF">2015-12-16T12:37:00Z</dcterms:modified>
  <cp:revision>34</cp:revision>
  <dc:subject/>
  <dc:title>INSTRUCTIONS TO TENDERERS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  <property fmtid="{D5CDD505-2E9C-101B-9397-08002B2CF9AE}" pid="3" name="_AdHocReviewCycleID">
    <vt:r8>-322518691</vt:r8>
  </property>
  <property fmtid="{D5CDD505-2E9C-101B-9397-08002B2CF9AE}" pid="4" name="_ReviewingToolsShownOnce">
    <vt:lpwstr/>
  </property>
</Properties>
</file>