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B" w:rsidRDefault="006B62EB" w:rsidP="006B62EB">
      <w:pPr>
        <w:spacing w:after="0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Anexă</w:t>
      </w:r>
    </w:p>
    <w:p w:rsidR="006B62EB" w:rsidRDefault="006B62EB" w:rsidP="006B62EB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la Decizia Consiliului raional Hînceşti</w:t>
      </w:r>
    </w:p>
    <w:p w:rsidR="009B6FD3" w:rsidRPr="00125CEE" w:rsidRDefault="006B62EB" w:rsidP="006B62EB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sz w:val="28"/>
          <w:szCs w:val="28"/>
          <w:lang w:val="ro-RO"/>
        </w:rPr>
        <w:t>Nr.  _/ _  din ____12.2021</w:t>
      </w:r>
    </w:p>
    <w:p w:rsidR="00835F6E" w:rsidRPr="00125CEE" w:rsidRDefault="006B62EB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7A8B5" wp14:editId="38A02170">
                <wp:simplePos x="0" y="0"/>
                <wp:positionH relativeFrom="page">
                  <wp:posOffset>-171450</wp:posOffset>
                </wp:positionH>
                <wp:positionV relativeFrom="page">
                  <wp:posOffset>2790825</wp:posOffset>
                </wp:positionV>
                <wp:extent cx="7720330" cy="7048500"/>
                <wp:effectExtent l="0" t="0" r="0" b="0"/>
                <wp:wrapTopAndBottom/>
                <wp:docPr id="9393" name="Group 9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0330" cy="7048500"/>
                          <a:chOff x="89883" y="769678"/>
                          <a:chExt cx="7501128" cy="8925289"/>
                        </a:xfrm>
                      </wpg:grpSpPr>
                      <wps:wsp>
                        <wps:cNvPr id="11600" name="Shape 11600"/>
                        <wps:cNvSpPr/>
                        <wps:spPr>
                          <a:xfrm>
                            <a:off x="89883" y="6304066"/>
                            <a:ext cx="7501128" cy="339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8" h="3390900">
                                <a:moveTo>
                                  <a:pt x="0" y="0"/>
                                </a:moveTo>
                                <a:lnTo>
                                  <a:pt x="7501128" y="0"/>
                                </a:lnTo>
                                <a:lnTo>
                                  <a:pt x="7501128" y="3390900"/>
                                </a:lnTo>
                                <a:lnTo>
                                  <a:pt x="0" y="3390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58840" y="7825576"/>
                            <a:ext cx="4487875" cy="666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14C4" w:rsidRPr="007076C7" w:rsidRDefault="009B6F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b/>
                                  <w:color w:val="00B050"/>
                                  <w:lang w:val="ro-MD"/>
                                </w:rPr>
                              </w:pPr>
                              <w:r w:rsidRPr="007076C7">
                                <w:rPr>
                                  <w:b/>
                                  <w:color w:val="00B050"/>
                                  <w:lang w:val="ro-MD"/>
                                </w:rPr>
                                <w:br/>
                                <w:t xml:space="preserve">    </w:t>
                              </w:r>
                              <w:r w:rsidRPr="006B62EB">
                                <w:rPr>
                                  <w:b/>
                                  <w:color w:val="000000" w:themeColor="text1"/>
                                  <w:lang w:val="ro-MD"/>
                                </w:rPr>
                                <w:t xml:space="preserve">Instituția Publică </w:t>
                              </w:r>
                              <w:r w:rsidRPr="006B62EB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pt-BR"/>
                                </w:rPr>
                                <w:t>“Centrul Raional de Tineret Hîncești”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69259" y="7605950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4C4" w:rsidRDefault="00306F1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flipV="1">
                            <a:off x="1035558" y="6766415"/>
                            <a:ext cx="1887855" cy="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930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2793" y="769678"/>
                            <a:ext cx="5712266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4C4" w:rsidRDefault="009B6FD3" w:rsidP="006B62EB">
                              <w:pPr>
                                <w:spacing w:after="0" w:line="276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Raport Narativ 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08041" y="5251831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4C4" w:rsidRDefault="00306F1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1035558" y="4944618"/>
                            <a:ext cx="2628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525">
                                <a:moveTo>
                                  <a:pt x="0" y="0"/>
                                </a:moveTo>
                                <a:lnTo>
                                  <a:pt x="262890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930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A8B5" id="Group 9393" o:spid="_x0000_s1026" style="position:absolute;margin-left:-13.5pt;margin-top:219.75pt;width:607.9pt;height:555pt;z-index:251658240;mso-position-horizontal-relative:page;mso-position-vertical-relative:page;mso-width-relative:margin;mso-height-relative:margin" coordorigin="898,7696" coordsize="75011,89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sl9wQAAIoUAAAOAAAAZHJzL2Uyb0RvYy54bWzsWG1v2zYQ/j5g/0HQ98US9W7EKYp2CQYM&#10;a9GXfWdkyRZGiQLFxM5+/e6OL5bTJE0TLAOCtUBMS8cj757nniN9+mbfi+C6UVMnh1UYn0Rh0Ay1&#10;XHfDZhV+/XL+SxkGk+bDmgs5NKvwppnCN2c//3S6G5cNk1sp1o0KwMkwLXfjKtxqPS4Xi6neNj2f&#10;TuTYDPCylarnGr6qzWKt+A6892LBoihf7KRaj0rWzTTB0/fmZXhG/tu2qfWHtp0aHYhVCHvT9FfR&#10;30v8uzg75cuN4uO2q+02+BN20fNugEW9q/dc8+BKdd+46rtayUm2+qSW/UK2bVc3FANEE0e3orlQ&#10;8mqkWDbL3Wb0aYLU3srTk93Wf1x/VEG3XoVVUiVhMPAeUKKFA3oCCdqNmyXYXajx8/hR2Qcb8w1j&#10;3reqx0+IJthTam98apu9Dmp4WBQsShJAoIZ3RZSWWWSTX28BIZxXVmUJO8D3eZUXpcGm3v7qXGRR&#10;HDPgE7ooK5axskKbhdvBAjfq97UbgVHTIWnT85L2ecvHhrCYMBk2aXGcQxw2a2QSmEeUJbL0OZuW&#10;E6TvjoQdAs+TKI3y3ETuUzePO0mqqIrio7j5sr6a9EUjCQV+/fukYXng4tqN+NaN6v3ghgqK48Gy&#10;GLnGeegKh8EOkHF72a5Cs5WIaN/L6+aLJEt9iwMAz+GtGOZW3pvjC9g6C/c5kr+5pVvXQO/s3Kex&#10;B0zA5+MtiYt+dRhgwEQtnwR4OE+zGDAfSGgOstUKrk0iOg16JroexJAVkSE5OQZvSEnDARrpG9Fg&#10;ysTwqWmhBql28MGkNpfvhAquOaoW/bOAkymatJ0QflZMSx/NKs7xv51ljXFeQ5roZxr0ptouaIQR&#10;5AXicvIIm/eTaGU5aD9/AFGnRWYB4fBSrm9IKihmKENUkZeoR1+Mn4DdfNiIJogJXFwe6vb71Rjn&#10;WVmmhkBFybKsuFWPaVoWZZEZHcrznMHYcNEJ4ahMOQY4WIVYaISQK03klzXBjIoBp1MGSSBodAc5&#10;mIEZW2Pj6bH+y4nBg9w4niS0m/R9atyz2v2c6LtBqoe32hoOuahNrBi23l/uIRk4NBQKtlL9/QEO&#10;GK2QUG8gMzQKA/HbAIoOMGk3UG5w6QZKi3eSGj+meZBvr7RsOxRHyrZZwX55QY7GrmHMOEp4YNiP&#10;4miS5tD/Ktsso6zKbDN1PSPNWZwahsZVxBh7LkNNAs9BdQzVxeDA85RF7Ogk4WN5vRAyB6Ht+ZTf&#10;h+ELWtGNf0JboNKwZ6U4SrIsgzMNdKu8yPM0Ji0BybWHnrgEscm82DA4oxkAnNbMe5LTl3+l9cdp&#10;lWTsOe3eecBgn9pwkzLGA9dx04Vj8rC+l5fTHVJ6R8eE42/E3trs3q2ltlve0Z2xPLgYt9z2bOvG&#10;tmQoFd+x0dJr51HTfz1NGOhq7hEzgSNeP1whmBpbFxVjBV5HgCnzy4CriqyIGYNzMl0F4KoQRc9u&#10;wT8icL7aX6/AQW6/gZDOQY+GMEujMkqh1wGGGcviMqG+MJO2vKxSwBivcy+PIekoBvN6MSwchrZJ&#10;FahKj8Zv3prSKk3z2N7IXRGyHC7gJMYAYAUQ/1edyW8ELqW0D6zlw51zfiN0befw9vje6F0dh2SM&#10;8Nj+uGvh/12qRQzsMd90uR+4KsLpnH7wor5pf5zDX9Tm3+n4efgJ8ewfAAAA//8DAFBLAwQUAAYA&#10;CAAAACEAWyr+luMAAAANAQAADwAAAGRycy9kb3ducmV2LnhtbEyPQW+CQBCF7036HzbTpDddUGkp&#10;ZTHGtD0Zk2oT422EEYjsLmFXwH/f8dTeZua9vPleuhx1I3rqXG2NgnAagCCT26I2pYKf/eckBuE8&#10;mgIba0jBjRwss8eHFJPCDuab+p0vBYcYl6CCyvs2kdLlFWl0U9uSYe1sO42e166URYcDh+tGzoLg&#10;RWqsDX+osKV1Rflld9UKvgYcVvPwo99czuvbcR9tD5uQlHp+GlfvIDyN/s8Md3xGh4yZTvZqCica&#10;BZPZK3fxChbztwjE3RHGMbc58RQt+CazVP5vkf0CAAD//wMAUEsBAi0AFAAGAAgAAAAhALaDOJL+&#10;AAAA4QEAABMAAAAAAAAAAAAAAAAAAAAAAFtDb250ZW50X1R5cGVzXS54bWxQSwECLQAUAAYACAAA&#10;ACEAOP0h/9YAAACUAQAACwAAAAAAAAAAAAAAAAAvAQAAX3JlbHMvLnJlbHNQSwECLQAUAAYACAAA&#10;ACEAfU3LJfcEAACKFAAADgAAAAAAAAAAAAAAAAAuAgAAZHJzL2Uyb0RvYy54bWxQSwECLQAUAAYA&#10;CAAAACEAWyr+luMAAAANAQAADwAAAAAAAAAAAAAAAABRBwAAZHJzL2Rvd25yZXYueG1sUEsFBgAA&#10;AAAEAAQA8wAAAGEIAAAAAA==&#10;">
                <v:shape id="Shape 11600" o:spid="_x0000_s1027" style="position:absolute;left:898;top:63040;width:75012;height:33909;visibility:visible;mso-wrap-style:square;v-text-anchor:top" coordsize="7501128,33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U38UA&#10;AADeAAAADwAAAGRycy9kb3ducmV2LnhtbESPQWvCQBCF74L/YRmhN93Yg0jqKra0UBAKTYRex+yY&#10;BLOzYXdN0n/fORS8zTBv3nvf7jC5Tg0UYuvZwHqVgSKuvG25NnAuP5ZbUDEhW+w8k4FfinDYz2c7&#10;zK0f+ZuGItVKTDjmaKBJqc+1jlVDDuPK98Ryu/rgMMkaam0DjmLuOv2cZRvtsGVJaLCnt4aqW3F3&#10;BrC4D7q8tF9FNzouf05heH0/GfO0mI4voBJN6SH+//60Un+9yQRAcGQG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dTfxQAAAN4AAAAPAAAAAAAAAAAAAAAAAJgCAABkcnMv&#10;ZG93bnJldi54bWxQSwUGAAAAAAQABAD1AAAAigMAAAAA&#10;" path="m,l7501128,r,3390900l,3390900,,e" fillcolor="#7f7f7f" stroked="f" strokeweight="0">
                  <v:stroke miterlimit="83231f" joinstyle="miter"/>
                  <v:path arrowok="t" textboxrect="0,0,7501128,3390900"/>
                </v:shape>
                <v:rect id="Rectangle 10" o:spid="_x0000_s1028" style="position:absolute;left:16588;top:78255;width:44879;height:6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TWsQA&#10;AADbAAAADwAAAGRycy9kb3ducmV2LnhtbESPQWvCQBCF7wX/wzJCb3Wjgkh0lVIRPIhQ0+J1zI5J&#10;MDsbs2tM/33nIHib4b1575vlune16qgNlWcD41ECijj3tuLCwE+2/ZiDChHZYu2ZDPxRgPVq8LbE&#10;1PoHf1N3jIWSEA4pGihjbFKtQ16SwzDyDbFoF986jLK2hbYtPiTc1XqSJDPtsGJpKLGhr5Ly6/Hu&#10;DBzmv9dqfzvNDmfsJtNxNr1km5Mx78P+cwEqUh9f5uf1z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vk1rEAAAA2wAAAA8AAAAAAAAAAAAAAAAAmAIAAGRycy9k&#10;b3ducmV2LnhtbFBLBQYAAAAABAAEAPUAAACJAwAAAAA=&#10;" fillcolor="white [3201]" strokecolor="black [3200]" strokeweight="1pt">
                  <v:textbox inset="0,0,0,0">
                    <w:txbxContent>
                      <w:p w:rsidR="005714C4" w:rsidRPr="007076C7" w:rsidRDefault="009B6FD3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b/>
                            <w:color w:val="00B050"/>
                            <w:lang w:val="ro-MD"/>
                          </w:rPr>
                        </w:pPr>
                        <w:r w:rsidRPr="007076C7">
                          <w:rPr>
                            <w:b/>
                            <w:color w:val="00B050"/>
                            <w:lang w:val="ro-MD"/>
                          </w:rPr>
                          <w:br/>
                          <w:t xml:space="preserve">    </w:t>
                        </w:r>
                        <w:r w:rsidRPr="006B62EB">
                          <w:rPr>
                            <w:b/>
                            <w:color w:val="000000" w:themeColor="text1"/>
                            <w:lang w:val="ro-MD"/>
                          </w:rPr>
                          <w:t xml:space="preserve">Instituția Publică </w:t>
                        </w:r>
                        <w:r w:rsidRPr="006B62E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8"/>
                            <w:szCs w:val="28"/>
                            <w:lang w:val="pt-BR"/>
                          </w:rPr>
                          <w:t>“Centrul Raional de Tineret Hîncești”</w:t>
                        </w:r>
                      </w:p>
                    </w:txbxContent>
                  </v:textbox>
                </v:rect>
                <v:rect id="Rectangle 11" o:spid="_x0000_s1029" style="position:absolute;left:34692;top:76059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714C4" w:rsidRDefault="00306F1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30" style="position:absolute;left:10355;top:67664;width:18879;height:663;flip:y;visibility:visible;mso-wrap-style:square;v-text-anchor:top" coordsize="1493520,6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ZdL0A&#10;AADbAAAADwAAAGRycy9kb3ducmV2LnhtbERPSwrCMBDdC94hjOBGNFVQpBpFREEQF35wPTRjW2wm&#10;pYm2vb0RBHfzeN9ZrhtTiDdVLresYDyKQBAnVuecKrhd98M5COeRNRaWSUFLDtarbmeJsbY1n+l9&#10;8akIIexiVJB5X8ZSuiQjg25kS+LAPWxl0AdYpVJXWIdwU8hJFM2kwZxDQ4YlbTNKnpeXUfDYpXV7&#10;up2mVh8PUe3kq5X3gVL9XrNZgPDU+L/45z7oMH8C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+ZdL0AAADbAAAADwAAAAAAAAAAAAAAAACYAgAAZHJzL2Rvd25yZXYu&#10;eG1sUEsFBgAAAAAEAAQA9QAAAIIDAAAAAA==&#10;" path="m,l1493520,e" filled="f" strokecolor="#39302a" strokeweight="3pt">
                  <v:path arrowok="t" textboxrect="0,0,1493520,66293"/>
                </v:shape>
                <v:rect id="Rectangle 15" o:spid="_x0000_s1031" style="position:absolute;left:9227;top:7696;width:57123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714C4" w:rsidRDefault="009B6FD3" w:rsidP="006B62EB">
                        <w:pPr>
                          <w:spacing w:after="0" w:line="276" w:lineRule="auto"/>
                          <w:ind w:left="0" w:firstLine="0"/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72"/>
                          </w:rPr>
                          <w:t>Raport</w:t>
                        </w:r>
                        <w:proofErr w:type="spellEnd"/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72"/>
                          </w:rPr>
                          <w:t>Narativ</w:t>
                        </w:r>
                        <w:proofErr w:type="spellEnd"/>
                        <w:r>
                          <w:rPr>
                            <w:b/>
                            <w:sz w:val="72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6" o:spid="_x0000_s1032" style="position:absolute;left:54080;top:52518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714C4" w:rsidRDefault="00306F1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3" style="position:absolute;left:10355;top:49446;width:26289;height:95;visibility:visible;mso-wrap-style:square;v-text-anchor:top" coordsize="26289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8478A&#10;AADbAAAADwAAAGRycy9kb3ducmV2LnhtbERP3WrCMBS+H/gO4QjezXSKWjujyHDo7aoPcGjO2rLm&#10;JCaZrW+/CMLuzsf3eza7wXTiRj60lhW8TTMQxJXVLdcKLufP1xxEiMgaO8uk4E4BdtvRywYLbXv+&#10;olsZa5FCOBSooInRFVKGqiGDYWodceK+rTcYE/S11B77FG46OcuypTTYcmpo0NFHQ9VP+WsU5FfU&#10;1Dnq3eKY+/N1eZivjxelJuNh/w4i0hD/xU/3Saf5K3j8kg6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LzjvwAAANsAAAAPAAAAAAAAAAAAAAAAAJgCAABkcnMvZG93bnJl&#10;di54bWxQSwUGAAAAAAQABAD1AAAAhAMAAAAA&#10;" path="m,l2628900,9525e" filled="f" strokecolor="#39302a" strokeweight="3pt">
                  <v:path arrowok="t" textboxrect="0,0,2628900,9525"/>
                </v:shape>
                <w10:wrap type="topAndBottom" anchorx="page" anchory="page"/>
              </v:group>
            </w:pict>
          </mc:Fallback>
        </mc:AlternateContent>
      </w:r>
      <w:r w:rsidRPr="00125CEE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1DDACDBE" wp14:editId="6E13A7D2">
            <wp:simplePos x="0" y="0"/>
            <wp:positionH relativeFrom="margin">
              <wp:posOffset>-774700</wp:posOffset>
            </wp:positionH>
            <wp:positionV relativeFrom="margin">
              <wp:posOffset>2116455</wp:posOffset>
            </wp:positionV>
            <wp:extent cx="7781925" cy="4137025"/>
            <wp:effectExtent l="0" t="0" r="9525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work-800x50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7A2" w:rsidRPr="006A07A2" w:rsidRDefault="006A07A2" w:rsidP="006A07A2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o-MD"/>
        </w:rPr>
      </w:pPr>
      <w:r w:rsidRPr="006A07A2">
        <w:rPr>
          <w:lang w:val="ro-MD"/>
        </w:rPr>
        <w:lastRenderedPageBreak/>
        <w:t xml:space="preserve">Instituția Publică </w:t>
      </w:r>
      <w:r w:rsidRPr="006A07A2">
        <w:rPr>
          <w:rFonts w:ascii="Times New Roman" w:hAnsi="Times New Roman"/>
          <w:sz w:val="28"/>
          <w:szCs w:val="28"/>
          <w:lang w:val="ro-MD"/>
        </w:rPr>
        <w:t>“Centrul Raional de Tineret Hîncești”</w:t>
      </w:r>
      <w:r w:rsidRPr="006A07A2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Pr="006A07A2">
        <w:rPr>
          <w:rFonts w:ascii="Times New Roman" w:hAnsi="Times New Roman"/>
          <w:sz w:val="28"/>
          <w:szCs w:val="28"/>
          <w:lang w:val="ro-MD"/>
        </w:rPr>
        <w:t xml:space="preserve">și-a desfășurat activitatea în corespundere cu obiectivele planificate pentru anul 2022, care au fost realizare printr-un spectru de acțiuni caracteristice domeniului de activitate: </w:t>
      </w:r>
    </w:p>
    <w:p w:rsidR="006A07A2" w:rsidRPr="006A07A2" w:rsidRDefault="006A07A2" w:rsidP="006A07A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6A07A2">
        <w:rPr>
          <w:rFonts w:ascii="Times New Roman" w:hAnsi="Times New Roman"/>
          <w:sz w:val="28"/>
          <w:szCs w:val="28"/>
          <w:lang w:val="ro-MD"/>
        </w:rPr>
        <w:t xml:space="preserve">Implicarea tinerilor activi din raion; </w:t>
      </w:r>
    </w:p>
    <w:p w:rsidR="006A07A2" w:rsidRPr="006A07A2" w:rsidRDefault="006A07A2" w:rsidP="006A07A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6A07A2">
        <w:rPr>
          <w:rFonts w:ascii="Times New Roman" w:hAnsi="Times New Roman"/>
          <w:sz w:val="28"/>
          <w:szCs w:val="28"/>
          <w:lang w:val="ro-MD"/>
        </w:rPr>
        <w:t xml:space="preserve">Planificarea unor activități de dezvoltare, bazate pe domenii sociale; </w:t>
      </w:r>
    </w:p>
    <w:p w:rsidR="006A07A2" w:rsidRPr="006A07A2" w:rsidRDefault="006A07A2" w:rsidP="006A07A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6A07A2">
        <w:rPr>
          <w:rFonts w:ascii="Times New Roman" w:hAnsi="Times New Roman"/>
          <w:sz w:val="28"/>
          <w:szCs w:val="28"/>
          <w:lang w:val="ro-MD"/>
        </w:rPr>
        <w:t>Atragerea și formarea unui parteneriat durabil cu alte instituții, specializate în domeniu;</w:t>
      </w:r>
    </w:p>
    <w:p w:rsidR="006A07A2" w:rsidRPr="006A07A2" w:rsidRDefault="006A07A2" w:rsidP="006A07A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6A07A2">
        <w:rPr>
          <w:rFonts w:ascii="Times New Roman" w:hAnsi="Times New Roman"/>
          <w:sz w:val="28"/>
          <w:szCs w:val="28"/>
          <w:lang w:val="ro-MD"/>
        </w:rPr>
        <w:t>Realizarea unor inițiative în care tinerii pot prelua experiențe, etc.</w:t>
      </w:r>
    </w:p>
    <w:p w:rsidR="006A07A2" w:rsidRPr="006A07A2" w:rsidRDefault="006A07A2" w:rsidP="006A07A2">
      <w:pPr>
        <w:rPr>
          <w:rFonts w:ascii="Times New Roman" w:hAnsi="Times New Roman"/>
          <w:sz w:val="28"/>
          <w:szCs w:val="28"/>
          <w:lang w:val="ro-MD"/>
        </w:rPr>
      </w:pPr>
    </w:p>
    <w:p w:rsidR="006A07A2" w:rsidRPr="006A07A2" w:rsidRDefault="006A07A2" w:rsidP="006A07A2">
      <w:pPr>
        <w:jc w:val="left"/>
        <w:rPr>
          <w:rFonts w:ascii="Times New Roman" w:hAnsi="Times New Roman"/>
          <w:sz w:val="28"/>
          <w:szCs w:val="28"/>
          <w:lang w:val="ro-MD"/>
        </w:rPr>
      </w:pPr>
      <w:r w:rsidRPr="006A07A2">
        <w:rPr>
          <w:rFonts w:ascii="Times New Roman" w:hAnsi="Times New Roman"/>
          <w:sz w:val="28"/>
          <w:szCs w:val="28"/>
          <w:lang w:val="ro-MD"/>
        </w:rPr>
        <w:t xml:space="preserve">        Activitatea Centrului este axată pe conlucrarea cu instituțiile publice din țară și tineri din raion ce au nevoie de afirmare, dezvoltare, socializare și implicare în activități importante.</w:t>
      </w:r>
    </w:p>
    <w:p w:rsidR="006A07A2" w:rsidRPr="00E7154F" w:rsidRDefault="006A07A2" w:rsidP="006A07A2">
      <w:pPr>
        <w:jc w:val="left"/>
        <w:rPr>
          <w:rFonts w:ascii="Times New Roman" w:hAnsi="Times New Roman"/>
          <w:sz w:val="28"/>
          <w:szCs w:val="28"/>
          <w:lang w:val="ro-MD"/>
        </w:rPr>
      </w:pPr>
      <w:r w:rsidRPr="00E7154F">
        <w:rPr>
          <w:rFonts w:ascii="Times New Roman" w:hAnsi="Times New Roman"/>
          <w:sz w:val="28"/>
          <w:szCs w:val="28"/>
          <w:lang w:val="ro-MD"/>
        </w:rPr>
        <w:t>Serviciul este o instituție publică fondată de Consiliul raional Hîncești și funcționează în conformitate cu Regulamentul de organizare și funcționare a ,,Centrul Raional de Tineret 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E7154F">
        <w:rPr>
          <w:rFonts w:ascii="Times New Roman" w:hAnsi="Times New Roman"/>
          <w:sz w:val="28"/>
          <w:szCs w:val="28"/>
          <w:lang w:val="ro-MD"/>
        </w:rPr>
        <w:t xml:space="preserve">, apobat prin Decizia Nr. 07/23 din 22.12.2017, și deține un spațiu de 30 m.p </w:t>
      </w:r>
    </w:p>
    <w:p w:rsidR="005714C4" w:rsidRPr="006A07A2" w:rsidRDefault="00306F13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6A07A2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Context: </w:t>
      </w:r>
      <w:r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Prezentul raport de activitate este elaborat și prezentat de către </w:t>
      </w:r>
      <w:r w:rsidR="00835F6E"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>“Centrul Raional de Tineret Hîncești”</w:t>
      </w:r>
      <w:r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>, în baza prevederilor Acordului de Colabo</w:t>
      </w:r>
      <w:r w:rsidR="00835F6E"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>rare cu Consiliul Raional Hîncești</w:t>
      </w:r>
      <w:r w:rsidR="006A07A2"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>.</w:t>
      </w:r>
      <w:r w:rsidRPr="006A07A2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</w:p>
    <w:p w:rsidR="00835F6E" w:rsidRPr="00125CEE" w:rsidRDefault="00835F6E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279F8" w:rsidRPr="00125CEE" w:rsidRDefault="00306F13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În baza Acordului de Cooperare, atât Consiliul Raional </w:t>
      </w:r>
      <w:r w:rsidR="003279F8" w:rsidRPr="00125CEE">
        <w:rPr>
          <w:rFonts w:ascii="Times New Roman" w:hAnsi="Times New Roman" w:cs="Times New Roman"/>
          <w:sz w:val="28"/>
          <w:szCs w:val="28"/>
          <w:lang w:val="ro-RO"/>
        </w:rPr>
        <w:t>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cât și </w:t>
      </w:r>
      <w:r w:rsidR="006B62EB">
        <w:rPr>
          <w:rFonts w:ascii="Times New Roman" w:hAnsi="Times New Roman" w:cs="Times New Roman"/>
          <w:sz w:val="28"/>
          <w:szCs w:val="28"/>
          <w:lang w:val="ro-RO"/>
        </w:rPr>
        <w:t xml:space="preserve"> Instituția Publică </w:t>
      </w:r>
      <w:r w:rsidR="003279F8" w:rsidRPr="00125CEE">
        <w:rPr>
          <w:rFonts w:ascii="Times New Roman" w:hAnsi="Times New Roman" w:cs="Times New Roman"/>
          <w:sz w:val="28"/>
          <w:szCs w:val="28"/>
          <w:lang w:val="ro-RO"/>
        </w:rPr>
        <w:t>“Centrul Raional de Tineret Hîncești”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și-au asumat angajamentul de a depune întreaga diligență și eforturile necesare pentru a contribui astfel la susținerea participării active a tinerilor la viața economică, socială, educațională, culturală și politică a țării și a comunităților din raionul </w:t>
      </w:r>
      <w:r w:rsidR="003279F8" w:rsidRPr="00125CEE">
        <w:rPr>
          <w:rFonts w:ascii="Times New Roman" w:hAnsi="Times New Roman" w:cs="Times New Roman"/>
          <w:sz w:val="28"/>
          <w:szCs w:val="28"/>
          <w:lang w:val="ro-RO"/>
        </w:rPr>
        <w:t>Hîncești,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în particular, asigurând oportunități egale de acces la educație non-formală, ocupare și condiții de viață decente, cu o atenție specială către adolescenții și tinerii care, din diferite motive, ar putea avea mai puține oportunități. </w:t>
      </w:r>
      <w:r w:rsidR="003279F8" w:rsidRPr="00125CEE">
        <w:rPr>
          <w:rFonts w:ascii="Times New Roman" w:hAnsi="Times New Roman" w:cs="Times New Roman"/>
          <w:sz w:val="28"/>
          <w:szCs w:val="28"/>
          <w:lang w:val="ro-RO"/>
        </w:rPr>
        <w:t>“Centrul Raional de Tineret Hîncești” este îndreptat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pentru prestarea de servicii prietenoase tinerilor, realizarea de acțiuni, proiecte și programe ce vor contribui la implementarea politicilor de tineret la nivel local, regional și național. </w:t>
      </w:r>
    </w:p>
    <w:p w:rsidR="003279F8" w:rsidRPr="00125CEE" w:rsidRDefault="003279F8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 w:rsidR="005714C4" w:rsidRPr="00125CEE" w:rsidRDefault="003279F8" w:rsidP="00C61CBF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Informații generale despre CRT Hîncești</w:t>
      </w:r>
      <w:r w:rsidR="00306F13" w:rsidRPr="00125C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 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“Centrul Raional de Tineret Hîncești”</w:t>
      </w:r>
      <w:r w:rsidR="00125CEE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o 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Instituție Publică, fondată în 2017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și în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registrată oficial în 24.01.2018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de Ministerul Justiției al Republicii Moldova,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care are ca drept scop de a ajuta tinerii să devină arhitecții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propriilor vieți, să sprijine dezvoltarea lor personală și creșterea către autonomie, să consolideze reziliența acestora și să îi înzestreze cu deprinderile de viață necesare pentru a face față unei lumi în schimbare.  </w:t>
      </w:r>
    </w:p>
    <w:p w:rsidR="005714C4" w:rsidRPr="00125CEE" w:rsidRDefault="00306F13" w:rsidP="003C08A5">
      <w:pPr>
        <w:tabs>
          <w:tab w:val="left" w:pos="0"/>
        </w:tabs>
        <w:spacing w:after="320" w:line="240" w:lineRule="auto"/>
        <w:ind w:left="286" w:hanging="286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color w:val="2A231F"/>
          <w:sz w:val="28"/>
          <w:szCs w:val="28"/>
          <w:lang w:val="ro-RO"/>
        </w:rPr>
        <w:t xml:space="preserve">Aspecte statutare și principii directoare </w:t>
      </w:r>
    </w:p>
    <w:p w:rsidR="005659B5" w:rsidRDefault="00306F13" w:rsidP="003C08A5">
      <w:p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Viziunea</w:t>
      </w:r>
      <w:r w:rsidR="00125CEE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este o Instituție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în care tinerii beneficiază de realizarea tuturor drepturilor, participă și se implică activ în dezvoltarea socială, economică și culturală a comunităților și a țării în ansamblu. </w:t>
      </w:r>
    </w:p>
    <w:p w:rsidR="005714C4" w:rsidRPr="00125CEE" w:rsidRDefault="00306F13" w:rsidP="003C08A5">
      <w:pPr>
        <w:tabs>
          <w:tab w:val="left" w:pos="0"/>
        </w:tabs>
        <w:ind w:left="0" w:hanging="12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Misiunea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5CEE" w:rsidRPr="00125CEE">
        <w:rPr>
          <w:rFonts w:ascii="Times New Roman" w:hAnsi="Times New Roman" w:cs="Times New Roman"/>
          <w:sz w:val="28"/>
          <w:szCs w:val="28"/>
          <w:lang w:val="ro-RO"/>
        </w:rPr>
        <w:t>Instituție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este de a elabora, implementa, promova și multiplica politici, strategii, metodologii, instrumente operaționale, cu caracter inovativ și pragmatic, ce vor fi îndreptate pentru îmbunătățirea calității vieții tinerilor. </w:t>
      </w:r>
    </w:p>
    <w:p w:rsidR="005714C4" w:rsidRPr="00125CEE" w:rsidRDefault="00306F13" w:rsidP="003C08A5">
      <w:pPr>
        <w:tabs>
          <w:tab w:val="left" w:pos="0"/>
        </w:tabs>
        <w:ind w:left="0" w:right="92" w:hanging="12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Scopul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5CEE" w:rsidRPr="00125CEE">
        <w:rPr>
          <w:rFonts w:ascii="Times New Roman" w:hAnsi="Times New Roman" w:cs="Times New Roman"/>
          <w:sz w:val="28"/>
          <w:szCs w:val="28"/>
          <w:lang w:val="ro-RO"/>
        </w:rPr>
        <w:t>Instituție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este de a ajuta tinerii să devină arhitecții propriilor vieți, să sprijine dezvoltarea lor personală și creșterea către autonomie, să consolideze reziliența acestora și să îi înzestreze cu deprinderile de viață necesare pentru a face față unei lumi în schimbare. </w:t>
      </w:r>
    </w:p>
    <w:p w:rsidR="005659B5" w:rsidRPr="00B811AC" w:rsidRDefault="005659B5" w:rsidP="006B62E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B811AC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Instituția Publică </w:t>
      </w:r>
      <w:r w:rsidRPr="00B811AC">
        <w:rPr>
          <w:rFonts w:ascii="Times New Roman" w:hAnsi="Times New Roman" w:cs="Times New Roman"/>
          <w:b/>
          <w:sz w:val="28"/>
          <w:szCs w:val="28"/>
          <w:lang w:val="pt-BR"/>
        </w:rPr>
        <w:t>“Centrul Raional de Tineret Hîncești”</w:t>
      </w:r>
      <w:r w:rsidRPr="00B811AC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B811AC">
        <w:rPr>
          <w:rFonts w:ascii="Times New Roman" w:hAnsi="Times New Roman" w:cs="Times New Roman"/>
          <w:sz w:val="28"/>
          <w:szCs w:val="28"/>
          <w:lang w:val="ro-MD"/>
        </w:rPr>
        <w:t>este parte din</w:t>
      </w:r>
      <w:r w:rsidR="00306F13" w:rsidRPr="00B811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11AC"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ro-MD"/>
        </w:rPr>
        <w:t>cadrul Fondului     comun privind dezvoltarea Centrelor de tineret și consolidarea participării și implicării civice a tinerilor din Republica Moldova al Ministerului Educației, Culturii și Cercetării, Agenției Elvețiene pentru Dezvoltare și Cooperare și Fondului Națiunilor Unite pentru Populație.</w:t>
      </w:r>
      <w:r w:rsidRPr="00B811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714C4" w:rsidRDefault="005659B5" w:rsidP="00BF5AD7">
      <w:pPr>
        <w:spacing w:after="0" w:line="276" w:lineRule="auto"/>
        <w:ind w:left="0" w:firstLine="0"/>
        <w:jc w:val="left"/>
        <w:rPr>
          <w:rStyle w:val="a7"/>
          <w:rFonts w:ascii="Times New Roman" w:hAnsi="Times New Roman" w:cs="Times New Roman"/>
          <w:bCs/>
          <w:i w:val="0"/>
          <w:color w:val="333333"/>
          <w:szCs w:val="24"/>
          <w:bdr w:val="none" w:sz="0" w:space="0" w:color="auto" w:frame="1"/>
          <w:shd w:val="clear" w:color="auto" w:fill="FFFFFF"/>
          <w:lang w:val="ro-MD"/>
        </w:rPr>
      </w:pPr>
      <w:r w:rsidRPr="005659B5">
        <w:rPr>
          <w:rStyle w:val="a7"/>
          <w:rFonts w:ascii="Times New Roman" w:hAnsi="Times New Roman" w:cs="Times New Roman"/>
          <w:bCs/>
          <w:i w:val="0"/>
          <w:color w:val="333333"/>
          <w:szCs w:val="24"/>
          <w:bdr w:val="none" w:sz="0" w:space="0" w:color="auto" w:frame="1"/>
          <w:shd w:val="clear" w:color="auto" w:fill="FFFFFF"/>
          <w:lang w:val="ro-MD"/>
        </w:rPr>
        <w:t xml:space="preserve"> </w:t>
      </w:r>
    </w:p>
    <w:p w:rsidR="00C61CBF" w:rsidRPr="00125CEE" w:rsidRDefault="00C61CBF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Beneficiari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serviciile Centrului sunt</w:t>
      </w: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Persoane tinere cu vârsta cuprinsă între 1</w:t>
      </w:r>
      <w:r>
        <w:rPr>
          <w:rFonts w:ascii="Times New Roman" w:hAnsi="Times New Roman" w:cs="Times New Roman"/>
          <w:sz w:val="28"/>
          <w:szCs w:val="28"/>
          <w:lang w:val="ro-RO"/>
        </w:rPr>
        <w:t>4-3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5 ani d</w:t>
      </w:r>
      <w:r>
        <w:rPr>
          <w:rFonts w:ascii="Times New Roman" w:hAnsi="Times New Roman" w:cs="Times New Roman"/>
          <w:sz w:val="28"/>
          <w:szCs w:val="28"/>
          <w:lang w:val="ro-RO"/>
        </w:rPr>
        <w:t>in comunitățile raionului 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în care </w:t>
      </w:r>
      <w:r w:rsidRPr="009B6FD3">
        <w:rPr>
          <w:b/>
          <w:lang w:val="ro-MD"/>
        </w:rPr>
        <w:t xml:space="preserve">Instituția Publică </w:t>
      </w:r>
      <w:r w:rsidRPr="00E7154F">
        <w:rPr>
          <w:rFonts w:ascii="Times New Roman" w:hAnsi="Times New Roman"/>
          <w:b/>
          <w:sz w:val="28"/>
          <w:szCs w:val="28"/>
          <w:lang w:val="ro-MD"/>
        </w:rPr>
        <w:t>“Centrul Raional de Tineret Hîncești”</w:t>
      </w:r>
      <w:r>
        <w:rPr>
          <w:b/>
          <w:lang w:val="ro-MD"/>
        </w:rPr>
        <w:t xml:space="preserve"> 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își desfășoară activitatea, aceștia fiind absolvenți ai școlilor profesionale, orfani, victime ale violenței din familie sau din familii marginalizate economic, în conflict cu familia, ce au șanse reduse de a se integra independent în societate și mediul profesional. </w:t>
      </w:r>
    </w:p>
    <w:p w:rsidR="00B811AC" w:rsidRPr="00C61CBF" w:rsidRDefault="00B811AC" w:rsidP="00BF5AD7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61CBF">
        <w:rPr>
          <w:rFonts w:ascii="Times New Roman" w:hAnsi="Times New Roman" w:cs="Times New Roman"/>
          <w:b/>
          <w:sz w:val="28"/>
          <w:szCs w:val="28"/>
          <w:lang w:val="ro-RO"/>
        </w:rPr>
        <w:t>Serviciul de voluntariat</w:t>
      </w:r>
    </w:p>
    <w:p w:rsidR="00B811AC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Misiunea serviciului:</w:t>
      </w:r>
      <w:r w:rsidR="0017049D">
        <w:rPr>
          <w:rFonts w:ascii="Times New Roman" w:hAnsi="Times New Roman" w:cs="Times New Roman"/>
          <w:sz w:val="28"/>
          <w:szCs w:val="28"/>
          <w:lang w:val="ro-RO"/>
        </w:rPr>
        <w:t xml:space="preserve"> Serviciul de voluntariat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este un serviciu prietenos tinerilor cu caracter public, oferit gratuit beneficiarilor de către </w:t>
      </w:r>
      <w:r w:rsidRPr="00B811AC">
        <w:rPr>
          <w:lang w:val="ro-MD"/>
        </w:rPr>
        <w:t xml:space="preserve">Instituția Publică </w:t>
      </w:r>
      <w:r w:rsidRPr="00B811AC">
        <w:rPr>
          <w:rFonts w:ascii="Times New Roman" w:hAnsi="Times New Roman"/>
          <w:sz w:val="28"/>
          <w:szCs w:val="28"/>
          <w:lang w:val="pt-BR"/>
        </w:rPr>
        <w:t>“Centrul Raional de Tineret Hîncești”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cu scopul de a promova și facilita participarea tinerilor în spiritul solidarității civice la activitatea de voluntariat. </w:t>
      </w:r>
    </w:p>
    <w:p w:rsidR="00B811AC" w:rsidRDefault="00B811AC" w:rsidP="006B62EB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Beneficiari: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Persoane tinere cu vârsta cuprinsă între 14-3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ani din comunitățile raionului </w:t>
      </w:r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811AC" w:rsidRPr="00125CEE" w:rsidRDefault="00B811AC" w:rsidP="00BF5AD7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811AC" w:rsidRDefault="00B811AC" w:rsidP="00BF5AD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Serviciul de orientare vocațională, formare și integrare profesională a tinerilor;</w:t>
      </w:r>
    </w:p>
    <w:p w:rsidR="00B811AC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Misiunea serviciului: 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Serviciul de integrare a tinerilor în situații de risc, este un serviciu prietenos tinerilor cu caracter public, oferit gratuit beneficiarilor de către </w:t>
      </w:r>
      <w:r w:rsidRPr="00B811AC">
        <w:rPr>
          <w:lang w:val="ro-MD"/>
        </w:rPr>
        <w:t xml:space="preserve">Instituția Publică </w:t>
      </w:r>
      <w:r w:rsidRPr="00B811AC">
        <w:rPr>
          <w:rFonts w:ascii="Times New Roman" w:hAnsi="Times New Roman"/>
          <w:sz w:val="28"/>
          <w:szCs w:val="28"/>
          <w:lang w:val="pt-BR"/>
        </w:rPr>
        <w:t>“Centrul Raional de Tineret Hîncești”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cu scopul de a oferi mai multe oportunități tinerilor în situații de risc de a beneficia de protecție și asistență necesară pentru a se integra în societate. </w:t>
      </w:r>
    </w:p>
    <w:p w:rsidR="00B811AC" w:rsidRPr="00125CEE" w:rsidRDefault="00B811AC" w:rsidP="00BF5AD7">
      <w:pPr>
        <w:spacing w:after="279" w:line="246" w:lineRule="auto"/>
        <w:ind w:left="0" w:right="-15"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Serviciul  de  Animarea  Timpului  Liber  al  Tinerilor  /  Dezvoltarea  și  promovarea activității de tineret;</w:t>
      </w:r>
    </w:p>
    <w:p w:rsidR="00B811AC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Misiunea serviciului: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Serviciul de animarea timpului liber a tinerilor, este un serviciu prietenos tinerilor cu caracter public, oferit gratuit beneficiarilor de către </w:t>
      </w:r>
      <w:r w:rsidRPr="00B811AC">
        <w:rPr>
          <w:lang w:val="ro-MD"/>
        </w:rPr>
        <w:t xml:space="preserve">Instituția Publică </w:t>
      </w:r>
      <w:r w:rsidRPr="00B811AC">
        <w:rPr>
          <w:rFonts w:ascii="Times New Roman" w:hAnsi="Times New Roman"/>
          <w:sz w:val="28"/>
          <w:szCs w:val="28"/>
          <w:lang w:val="pt-BR"/>
        </w:rPr>
        <w:t>“Centrul Raional de Tineret Hîncești”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cu scopul de a oferi mai multe oportunități tinerilor pentru petrecerea în siguranță a timpului liber. </w:t>
      </w:r>
    </w:p>
    <w:p w:rsidR="00771F71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Beneficiari: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Persoane tinere cu vârsta cuprinsă între 12-25 ani d</w:t>
      </w:r>
      <w:r>
        <w:rPr>
          <w:rFonts w:ascii="Times New Roman" w:hAnsi="Times New Roman" w:cs="Times New Roman"/>
          <w:sz w:val="28"/>
          <w:szCs w:val="28"/>
          <w:lang w:val="ro-RO"/>
        </w:rPr>
        <w:t>in comunitățile raionului 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811AC" w:rsidRPr="00125CEE" w:rsidRDefault="00B811AC" w:rsidP="00BF5AD7">
      <w:pPr>
        <w:spacing w:after="279" w:line="246" w:lineRule="auto"/>
        <w:ind w:left="0" w:right="-15"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Servicii Outreach</w:t>
      </w:r>
    </w:p>
    <w:p w:rsidR="00B811AC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Misiunea serviciului: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Serviciul outreach este un serviciu prietenos tinerilor cu caracter public, oferit gratuit beneficiarilor de către </w:t>
      </w:r>
      <w:r w:rsidRPr="00B811AC">
        <w:rPr>
          <w:lang w:val="ro-MD"/>
        </w:rPr>
        <w:t xml:space="preserve">Instituția Publică </w:t>
      </w:r>
      <w:r w:rsidRPr="00B811AC">
        <w:rPr>
          <w:rFonts w:ascii="Times New Roman" w:hAnsi="Times New Roman"/>
          <w:sz w:val="28"/>
          <w:szCs w:val="28"/>
          <w:lang w:val="pt-BR"/>
        </w:rPr>
        <w:t>“Centrul Raional de Tineret Hîncești”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cu scopul de a oferi suport tinerilor din categorii marginalizate, care au posibilități limitate de a accesa servicii de educație, informare, consiliere, consultanță, instruire, referire și mediere ca structurile abilitate să răspundă nevoilor acestora. </w:t>
      </w:r>
    </w:p>
    <w:p w:rsidR="00B811AC" w:rsidRPr="00125CEE" w:rsidRDefault="00B811AC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Beneficiari: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Persoane ti</w:t>
      </w:r>
      <w:r>
        <w:rPr>
          <w:rFonts w:ascii="Times New Roman" w:hAnsi="Times New Roman" w:cs="Times New Roman"/>
          <w:sz w:val="28"/>
          <w:szCs w:val="28"/>
          <w:lang w:val="ro-RO"/>
        </w:rPr>
        <w:t>nere cu vârsta cuprinsă între 12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>-35 ani d</w:t>
      </w:r>
      <w:r>
        <w:rPr>
          <w:rFonts w:ascii="Times New Roman" w:hAnsi="Times New Roman" w:cs="Times New Roman"/>
          <w:sz w:val="28"/>
          <w:szCs w:val="28"/>
          <w:lang w:val="ro-RO"/>
        </w:rPr>
        <w:t>in comunitățile raionului Hîncești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C61CBF" w:rsidRPr="005659B5" w:rsidRDefault="00C61CBF" w:rsidP="00BF5AD7">
      <w:pPr>
        <w:spacing w:after="0" w:line="276" w:lineRule="auto"/>
        <w:ind w:left="0" w:firstLine="0"/>
        <w:jc w:val="left"/>
        <w:rPr>
          <w:b/>
          <w:lang w:val="ro-MD"/>
        </w:rPr>
      </w:pPr>
    </w:p>
    <w:p w:rsidR="005714C4" w:rsidRPr="00125CEE" w:rsidRDefault="00306F13" w:rsidP="00BF5AD7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SCOP</w:t>
      </w:r>
      <w:r w:rsidR="00B811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ANUL 2023</w:t>
      </w: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Tineri integrați și implicați în toate aspectele vieții. </w:t>
      </w:r>
    </w:p>
    <w:p w:rsidR="005714C4" w:rsidRPr="00125CEE" w:rsidRDefault="00306F13" w:rsidP="00BF5AD7">
      <w:pPr>
        <w:spacing w:after="279" w:line="246" w:lineRule="auto"/>
        <w:ind w:left="0" w:right="-15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>OBIECTIVE</w:t>
      </w:r>
      <w:r w:rsidR="005659B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ANUL 2023</w:t>
      </w:r>
      <w:r w:rsidRPr="00125C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771F71" w:rsidRDefault="00771F71" w:rsidP="00771F71">
      <w:pPr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- Tineri implicați în procesul de luare a deciziilor la nivel local de către cel puțin 30%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autoritățile administrației publice locale de nivelul întâi. </w:t>
      </w:r>
    </w:p>
    <w:p w:rsidR="005714C4" w:rsidRPr="00125CEE" w:rsidRDefault="005659B5" w:rsidP="00771F71">
      <w:pPr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Segoe UI Symbol" w:hAnsi="Times New Roman" w:cs="Times New Roman"/>
          <w:sz w:val="28"/>
          <w:szCs w:val="28"/>
          <w:lang w:val="ro-RO"/>
        </w:rPr>
        <w:t xml:space="preserve"> -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>Spor</w:t>
      </w:r>
      <w:r>
        <w:rPr>
          <w:rFonts w:ascii="Times New Roman" w:hAnsi="Times New Roman" w:cs="Times New Roman"/>
          <w:sz w:val="28"/>
          <w:szCs w:val="28"/>
          <w:lang w:val="ro-RO"/>
        </w:rPr>
        <w:t>irea, până la finele anului 2023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cu cel puțin 60% a nivelului de activism civic 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71F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tinerilor din </w:t>
      </w:r>
      <w:r>
        <w:rPr>
          <w:rFonts w:ascii="Times New Roman" w:hAnsi="Times New Roman" w:cs="Times New Roman"/>
          <w:sz w:val="28"/>
          <w:szCs w:val="28"/>
          <w:lang w:val="ro-RO"/>
        </w:rPr>
        <w:t>raionul Hîncești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, inclusiv în rândul tinerilor cu oportunități reduse. </w:t>
      </w:r>
    </w:p>
    <w:p w:rsidR="005714C4" w:rsidRPr="00125CEE" w:rsidRDefault="00771F71" w:rsidP="00771F71">
      <w:pPr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59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>Asigurarea calității și eficienței serviciilor oferite tinerilor, a</w:t>
      </w:r>
      <w:r w:rsidR="005659B5">
        <w:rPr>
          <w:rFonts w:ascii="Times New Roman" w:hAnsi="Times New Roman" w:cs="Times New Roman"/>
          <w:sz w:val="28"/>
          <w:szCs w:val="28"/>
          <w:lang w:val="ro-RO"/>
        </w:rPr>
        <w:t>stfel încât, până la finele 2023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>, acestea să fie accesibile pentru tineri</w:t>
      </w:r>
      <w:r w:rsidR="005659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 din l</w:t>
      </w:r>
      <w:r w:rsidR="005659B5">
        <w:rPr>
          <w:rFonts w:ascii="Times New Roman" w:hAnsi="Times New Roman" w:cs="Times New Roman"/>
          <w:sz w:val="28"/>
          <w:szCs w:val="28"/>
          <w:lang w:val="ro-RO"/>
        </w:rPr>
        <w:t xml:space="preserve">ocalitățile unității teritorial </w:t>
      </w:r>
      <w:r w:rsidR="00306F13" w:rsidRPr="00125CEE">
        <w:rPr>
          <w:rFonts w:ascii="Times New Roman" w:hAnsi="Times New Roman" w:cs="Times New Roman"/>
          <w:sz w:val="28"/>
          <w:szCs w:val="28"/>
          <w:lang w:val="ro-RO"/>
        </w:rPr>
        <w:t xml:space="preserve">administrative. </w:t>
      </w:r>
    </w:p>
    <w:p w:rsidR="00624996" w:rsidRDefault="00771F71" w:rsidP="00771F71">
      <w:pPr>
        <w:ind w:left="0" w:right="92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499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06F13" w:rsidRPr="00624996">
        <w:rPr>
          <w:rFonts w:ascii="Times New Roman" w:hAnsi="Times New Roman" w:cs="Times New Roman"/>
          <w:sz w:val="28"/>
          <w:szCs w:val="28"/>
          <w:lang w:val="ro-RO"/>
        </w:rPr>
        <w:t xml:space="preserve">Dezvoltarea serviciilor outreach </w:t>
      </w:r>
      <w:r w:rsidR="00624996">
        <w:rPr>
          <w:rFonts w:ascii="Times New Roman" w:hAnsi="Times New Roman" w:cs="Times New Roman"/>
          <w:sz w:val="28"/>
          <w:szCs w:val="28"/>
          <w:lang w:val="ro-RO"/>
        </w:rPr>
        <w:t xml:space="preserve">(servicii acordate tinerilor aflați în afara Centrului) </w:t>
      </w:r>
      <w:r w:rsidR="00306F13" w:rsidRPr="00624996">
        <w:rPr>
          <w:rFonts w:ascii="Times New Roman" w:hAnsi="Times New Roman" w:cs="Times New Roman"/>
          <w:sz w:val="28"/>
          <w:szCs w:val="28"/>
          <w:lang w:val="ro-RO"/>
        </w:rPr>
        <w:t xml:space="preserve">astfel încât, până </w:t>
      </w:r>
      <w:r w:rsidR="0017049D">
        <w:rPr>
          <w:rFonts w:ascii="Times New Roman" w:hAnsi="Times New Roman" w:cs="Times New Roman"/>
          <w:sz w:val="28"/>
          <w:szCs w:val="28"/>
          <w:lang w:val="ro-RO"/>
        </w:rPr>
        <w:t>la finele anului 2023, să fie informați cât mai mulți tineri din raion despre serviciile acordate acestora.</w:t>
      </w:r>
    </w:p>
    <w:p w:rsidR="00C61CBF" w:rsidRDefault="00C61CBF" w:rsidP="00C61CBF">
      <w:pPr>
        <w:ind w:left="296" w:right="92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 w:rsidR="00C61CBF" w:rsidRDefault="00C61CBF" w:rsidP="00C61CBF">
      <w:pPr>
        <w:spacing w:after="0"/>
        <w:ind w:left="296" w:right="92"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1CBF">
        <w:rPr>
          <w:rFonts w:ascii="Times New Roman" w:hAnsi="Times New Roman" w:cs="Times New Roman"/>
          <w:b/>
          <w:sz w:val="28"/>
          <w:szCs w:val="28"/>
          <w:lang w:val="ro-RO"/>
        </w:rPr>
        <w:t>Proiecte câștigate în anul 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022</w:t>
      </w:r>
    </w:p>
    <w:p w:rsidR="00C61CBF" w:rsidRPr="00C61CBF" w:rsidRDefault="00C61CBF" w:rsidP="00C61CBF">
      <w:pPr>
        <w:spacing w:after="0"/>
        <w:ind w:left="296" w:right="92"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1CBF">
        <w:rPr>
          <w:rFonts w:ascii="Times New Roman" w:hAnsi="Times New Roman" w:cs="Times New Roman"/>
          <w:b/>
          <w:sz w:val="28"/>
          <w:szCs w:val="28"/>
          <w:lang w:val="ro-RO"/>
        </w:rPr>
        <w:t>de către</w:t>
      </w:r>
      <w:r>
        <w:rPr>
          <w:b/>
          <w:lang w:val="ro-RO"/>
        </w:rPr>
        <w:t xml:space="preserve">  </w:t>
      </w:r>
      <w:r w:rsidRPr="00C61CBF">
        <w:rPr>
          <w:b/>
          <w:lang w:val="ro-RO"/>
        </w:rPr>
        <w:t xml:space="preserve"> </w:t>
      </w:r>
      <w:r w:rsidRPr="00C61CBF">
        <w:rPr>
          <w:b/>
          <w:lang w:val="ro-MD"/>
        </w:rPr>
        <w:t xml:space="preserve">Instituția Publică </w:t>
      </w:r>
      <w:r w:rsidRPr="00C61CBF">
        <w:rPr>
          <w:rFonts w:ascii="Times New Roman" w:hAnsi="Times New Roman"/>
          <w:b/>
          <w:sz w:val="28"/>
          <w:szCs w:val="28"/>
          <w:lang w:val="pt-BR"/>
        </w:rPr>
        <w:t>“Centrul Raional de Tineret Hîncești”</w:t>
      </w:r>
    </w:p>
    <w:p w:rsidR="003145B2" w:rsidRPr="00624996" w:rsidRDefault="003145B2" w:rsidP="00C61CBF">
      <w:pPr>
        <w:ind w:left="296" w:right="92" w:firstLine="0"/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 w:rsidR="005714C4" w:rsidRPr="00E7154F" w:rsidRDefault="003145B2" w:rsidP="006B62EB">
      <w:pPr>
        <w:pStyle w:val="a8"/>
        <w:numPr>
          <w:ilvl w:val="0"/>
          <w:numId w:val="20"/>
        </w:numPr>
        <w:spacing w:after="279" w:line="246" w:lineRule="auto"/>
        <w:ind w:right="-15"/>
        <w:jc w:val="lef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6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 </w:t>
      </w:r>
      <w:r w:rsidRPr="006B62EB">
        <w:rPr>
          <w:rFonts w:ascii="Times New Roman" w:hAnsi="Times New Roman"/>
          <w:b/>
          <w:sz w:val="28"/>
          <w:szCs w:val="28"/>
          <w:lang w:val="pt-BR"/>
        </w:rPr>
        <w:t>“</w:t>
      </w:r>
      <w:r w:rsidRPr="006B62EB">
        <w:rPr>
          <w:rFonts w:ascii="Times New Roman" w:hAnsi="Times New Roman" w:cs="Times New Roman"/>
          <w:b/>
          <w:sz w:val="28"/>
          <w:szCs w:val="28"/>
          <w:lang w:val="ro-RO"/>
        </w:rPr>
        <w:t>Programul de dezvoltare a lucrului mobil de tineret în Rețeaua Centrelor de tineret din Republica Moldova</w:t>
      </w:r>
      <w:r w:rsidRPr="00E7154F">
        <w:rPr>
          <w:rFonts w:ascii="Times New Roman" w:hAnsi="Times New Roman" w:cs="Times New Roman"/>
          <w:b/>
          <w:sz w:val="28"/>
          <w:szCs w:val="28"/>
          <w:lang w:val="pt-BR"/>
        </w:rPr>
        <w:t>’’</w:t>
      </w:r>
    </w:p>
    <w:p w:rsidR="003145B2" w:rsidRDefault="003145B2" w:rsidP="007076C7">
      <w:pPr>
        <w:pStyle w:val="a8"/>
        <w:numPr>
          <w:ilvl w:val="0"/>
          <w:numId w:val="17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385EDA">
        <w:rPr>
          <w:rFonts w:ascii="Times New Roman" w:hAnsi="Times New Roman" w:cs="Times New Roman"/>
          <w:sz w:val="28"/>
          <w:szCs w:val="28"/>
          <w:lang w:val="ro-RO"/>
        </w:rPr>
        <w:t xml:space="preserve">Lucru mobil de tineret (outreach) poate fi definit și ca un proces prin care </w:t>
      </w:r>
      <w:r w:rsidR="00385EDA" w:rsidRPr="00385EDA">
        <w:rPr>
          <w:rFonts w:ascii="Times New Roman" w:hAnsi="Times New Roman" w:cs="Times New Roman"/>
          <w:sz w:val="28"/>
          <w:szCs w:val="28"/>
          <w:lang w:val="ro-RO"/>
        </w:rPr>
        <w:t>activitatea</w:t>
      </w:r>
      <w:r w:rsidRPr="00385EDA">
        <w:rPr>
          <w:rFonts w:ascii="Times New Roman" w:hAnsi="Times New Roman" w:cs="Times New Roman"/>
          <w:sz w:val="28"/>
          <w:szCs w:val="28"/>
          <w:lang w:val="ro-RO"/>
        </w:rPr>
        <w:t>/lucrul de tineret este adus într-o zonă în care infrastructura de servicii și oportunități</w:t>
      </w:r>
      <w:r w:rsidR="00385E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5EDA">
        <w:rPr>
          <w:rFonts w:ascii="Times New Roman" w:hAnsi="Times New Roman" w:cs="Times New Roman"/>
          <w:sz w:val="28"/>
          <w:szCs w:val="28"/>
          <w:lang w:val="ro-RO"/>
        </w:rPr>
        <w:t>pentru tineri nu există, sau este slab dezvoltată și care se bazează pe nevoile individuale</w:t>
      </w:r>
      <w:r w:rsidR="00385E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5EDA">
        <w:rPr>
          <w:rFonts w:ascii="Times New Roman" w:hAnsi="Times New Roman" w:cs="Times New Roman"/>
          <w:sz w:val="28"/>
          <w:szCs w:val="28"/>
          <w:lang w:val="ro-RO"/>
        </w:rPr>
        <w:t>ale tinerilor care locuiesc pe acel ter</w:t>
      </w:r>
      <w:r w:rsidR="00E845B6">
        <w:rPr>
          <w:rFonts w:ascii="Times New Roman" w:hAnsi="Times New Roman" w:cs="Times New Roman"/>
          <w:sz w:val="28"/>
          <w:szCs w:val="28"/>
          <w:lang w:val="ro-RO"/>
        </w:rPr>
        <w:t>itoriu, spațiu, comunitate, etc;</w:t>
      </w:r>
    </w:p>
    <w:p w:rsidR="00E845B6" w:rsidRDefault="00E845B6" w:rsidP="007076C7">
      <w:pPr>
        <w:pStyle w:val="a8"/>
        <w:numPr>
          <w:ilvl w:val="0"/>
          <w:numId w:val="17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realizat activități în instituțiile de învățământ din raionul Hâncești;</w:t>
      </w:r>
    </w:p>
    <w:p w:rsidR="00E845B6" w:rsidRDefault="00E845B6" w:rsidP="007076C7">
      <w:pPr>
        <w:pStyle w:val="a8"/>
        <w:numPr>
          <w:ilvl w:val="0"/>
          <w:numId w:val="17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 beneficiat circa 3402 tineri din clasele Gimnaziale și Liceale;</w:t>
      </w:r>
    </w:p>
    <w:p w:rsidR="00E845B6" w:rsidRDefault="00E845B6" w:rsidP="007076C7">
      <w:pPr>
        <w:pStyle w:val="a8"/>
        <w:numPr>
          <w:ilvl w:val="0"/>
          <w:numId w:val="17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Valoarea proiectului este de circa 45 mii lei, resurse financiare pentru organizarea pauzei de cafea, transport, rechizite de birou</w:t>
      </w:r>
      <w:r w:rsidR="00BF5AD7">
        <w:rPr>
          <w:rFonts w:ascii="Times New Roman" w:hAnsi="Times New Roman" w:cs="Times New Roman"/>
          <w:sz w:val="28"/>
          <w:szCs w:val="28"/>
          <w:lang w:val="ro-RO"/>
        </w:rPr>
        <w:t xml:space="preserve"> etc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B62EB" w:rsidRPr="006B62EB" w:rsidRDefault="006B62EB" w:rsidP="006B62EB">
      <w:pPr>
        <w:spacing w:after="279" w:line="246" w:lineRule="auto"/>
        <w:ind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 w:rsidR="005714C4" w:rsidRPr="006B62EB" w:rsidRDefault="00E80F14" w:rsidP="006B62EB">
      <w:pPr>
        <w:pStyle w:val="a8"/>
        <w:numPr>
          <w:ilvl w:val="0"/>
          <w:numId w:val="20"/>
        </w:numPr>
        <w:spacing w:after="279" w:line="246" w:lineRule="auto"/>
        <w:ind w:right="-15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6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  <w:r w:rsidR="00306F13" w:rsidRPr="006B62E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6B62EB">
        <w:rPr>
          <w:rFonts w:ascii="Times New Roman" w:hAnsi="Times New Roman" w:cs="Times New Roman"/>
          <w:b/>
          <w:sz w:val="28"/>
          <w:szCs w:val="28"/>
          <w:lang w:val="ro-RO"/>
        </w:rPr>
        <w:t>TEEN SPACE</w:t>
      </w:r>
      <w:r w:rsidR="00306F13" w:rsidRPr="006B62EB">
        <w:rPr>
          <w:rFonts w:ascii="Times New Roman" w:hAnsi="Times New Roman" w:cs="Times New Roman"/>
          <w:b/>
          <w:sz w:val="28"/>
          <w:szCs w:val="28"/>
          <w:lang w:val="ro-RO"/>
        </w:rPr>
        <w:t>” (</w:t>
      </w:r>
      <w:r w:rsidRPr="006B62EB">
        <w:rPr>
          <w:rFonts w:ascii="Times New Roman" w:hAnsi="Times New Roman" w:cs="Times New Roman"/>
          <w:b/>
          <w:sz w:val="28"/>
          <w:szCs w:val="28"/>
          <w:lang w:val="ro-RO"/>
        </w:rPr>
        <w:t>Fundația Terre des hommes Moldova.</w:t>
      </w:r>
      <w:r w:rsidR="00306F13" w:rsidRPr="006B6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) </w:t>
      </w:r>
    </w:p>
    <w:p w:rsidR="00E80F14" w:rsidRDefault="00E80F14" w:rsidP="007076C7">
      <w:pPr>
        <w:pStyle w:val="a8"/>
        <w:numPr>
          <w:ilvl w:val="0"/>
          <w:numId w:val="19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cadrul acestui proiect am realizat o  </w:t>
      </w:r>
      <w:r w:rsidRPr="00E80F14">
        <w:rPr>
          <w:rFonts w:ascii="Times New Roman" w:hAnsi="Times New Roman" w:cs="Times New Roman"/>
          <w:sz w:val="28"/>
          <w:szCs w:val="28"/>
          <w:lang w:val="ro-RO"/>
        </w:rPr>
        <w:t>Zonă multifuncțională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0F14">
        <w:rPr>
          <w:rFonts w:ascii="Times New Roman" w:hAnsi="Times New Roman" w:cs="Times New Roman"/>
          <w:sz w:val="28"/>
          <w:szCs w:val="28"/>
          <w:lang w:val="ro-RO"/>
        </w:rPr>
        <w:t>în aer liber pentru tineri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0F14">
        <w:rPr>
          <w:rFonts w:ascii="Times New Roman" w:hAnsi="Times New Roman" w:cs="Times New Roman"/>
          <w:sz w:val="28"/>
          <w:szCs w:val="28"/>
          <w:lang w:val="ro-RO"/>
        </w:rPr>
        <w:t>,,Teen Space”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80F14" w:rsidRDefault="00E80F14" w:rsidP="007076C7">
      <w:pPr>
        <w:pStyle w:val="a8"/>
        <w:numPr>
          <w:ilvl w:val="0"/>
          <w:numId w:val="19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acest proiect au fost implicați 18 tineri din municipiul Hîncești;</w:t>
      </w:r>
      <w:r w:rsidR="00BF5AD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80F14" w:rsidRPr="00E80F14" w:rsidRDefault="00E80F14" w:rsidP="007076C7">
      <w:pPr>
        <w:pStyle w:val="a8"/>
        <w:numPr>
          <w:ilvl w:val="0"/>
          <w:numId w:val="19"/>
        </w:numPr>
        <w:spacing w:after="279" w:line="246" w:lineRule="auto"/>
        <w:ind w:left="284" w:right="-15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Valoarea proiectului constituie 17 800 lei.</w:t>
      </w:r>
    </w:p>
    <w:p w:rsidR="00C61CBF" w:rsidRPr="00125CEE" w:rsidRDefault="00C61CBF" w:rsidP="00C61CBF">
      <w:pPr>
        <w:spacing w:after="0"/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61CBF" w:rsidRPr="00125CEE" w:rsidSect="006B62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566" w:bottom="1151" w:left="123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AD" w:rsidRDefault="007307AD">
      <w:pPr>
        <w:spacing w:after="0" w:line="240" w:lineRule="auto"/>
      </w:pPr>
      <w:r>
        <w:separator/>
      </w:r>
    </w:p>
  </w:endnote>
  <w:endnote w:type="continuationSeparator" w:id="0">
    <w:p w:rsidR="007307AD" w:rsidRDefault="0073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00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F71" w:rsidRDefault="00771F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5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AD7" w:rsidRDefault="00BF5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AD" w:rsidRDefault="007307AD">
      <w:pPr>
        <w:spacing w:after="0" w:line="240" w:lineRule="auto"/>
      </w:pPr>
      <w:r>
        <w:separator/>
      </w:r>
    </w:p>
  </w:footnote>
  <w:footnote w:type="continuationSeparator" w:id="0">
    <w:p w:rsidR="007307AD" w:rsidRDefault="0073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BF5AD7">
    <w:pPr>
      <w:spacing w:after="0" w:line="276" w:lineRule="auto"/>
      <w:ind w:left="0"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2E34CD8A" wp14:editId="3ABDE912">
          <wp:simplePos x="0" y="0"/>
          <wp:positionH relativeFrom="margin">
            <wp:posOffset>4527550</wp:posOffset>
          </wp:positionH>
          <wp:positionV relativeFrom="margin">
            <wp:posOffset>-1141095</wp:posOffset>
          </wp:positionV>
          <wp:extent cx="1362075" cy="680720"/>
          <wp:effectExtent l="0" t="0" r="9525" b="5080"/>
          <wp:wrapSquare wrapText="bothSides"/>
          <wp:docPr id="42" name="I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00x15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2A32B63" wp14:editId="68C43241">
          <wp:simplePos x="0" y="0"/>
          <wp:positionH relativeFrom="margin">
            <wp:posOffset>2263140</wp:posOffset>
          </wp:positionH>
          <wp:positionV relativeFrom="margin">
            <wp:posOffset>-1165860</wp:posOffset>
          </wp:positionV>
          <wp:extent cx="1762125" cy="704850"/>
          <wp:effectExtent l="0" t="0" r="0" b="0"/>
          <wp:wrapSquare wrapText="bothSides"/>
          <wp:docPr id="43" name="I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hincesti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9C8D7C8" wp14:editId="390AEA46">
          <wp:simplePos x="0" y="0"/>
          <wp:positionH relativeFrom="margin">
            <wp:posOffset>-99060</wp:posOffset>
          </wp:positionH>
          <wp:positionV relativeFrom="margin">
            <wp:posOffset>-1164590</wp:posOffset>
          </wp:positionV>
          <wp:extent cx="2005330" cy="752475"/>
          <wp:effectExtent l="0" t="0" r="0" b="0"/>
          <wp:wrapSquare wrapText="bothSides"/>
          <wp:docPr id="44" name="I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educației și cercetării [monohrom]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51C"/>
    <w:multiLevelType w:val="hybridMultilevel"/>
    <w:tmpl w:val="9A3A2D9C"/>
    <w:lvl w:ilvl="0" w:tplc="173810B8">
      <w:start w:val="1"/>
      <w:numFmt w:val="bullet"/>
      <w:lvlText w:val="-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85C4">
      <w:start w:val="1"/>
      <w:numFmt w:val="bullet"/>
      <w:lvlText w:val="o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308">
      <w:start w:val="1"/>
      <w:numFmt w:val="bullet"/>
      <w:lvlText w:val="▪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276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C67F8">
      <w:start w:val="1"/>
      <w:numFmt w:val="bullet"/>
      <w:lvlText w:val="o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40F76">
      <w:start w:val="1"/>
      <w:numFmt w:val="bullet"/>
      <w:lvlText w:val="▪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8B898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4CA6E">
      <w:start w:val="1"/>
      <w:numFmt w:val="bullet"/>
      <w:lvlText w:val="o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66940">
      <w:start w:val="1"/>
      <w:numFmt w:val="bullet"/>
      <w:lvlText w:val="▪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C2A83"/>
    <w:multiLevelType w:val="hybridMultilevel"/>
    <w:tmpl w:val="5A468EDC"/>
    <w:lvl w:ilvl="0" w:tplc="1D14F58A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44A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25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C85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4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0E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4A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A59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96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86BB0"/>
    <w:multiLevelType w:val="hybridMultilevel"/>
    <w:tmpl w:val="105C0B9A"/>
    <w:lvl w:ilvl="0" w:tplc="8B8E59B8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E6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02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A2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B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C99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4F5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0F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95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F3B35"/>
    <w:multiLevelType w:val="hybridMultilevel"/>
    <w:tmpl w:val="614CF864"/>
    <w:lvl w:ilvl="0" w:tplc="CA025FBA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AD2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42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9E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AC4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4F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A1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E0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E2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31E0A"/>
    <w:multiLevelType w:val="hybridMultilevel"/>
    <w:tmpl w:val="2512ABCE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1F4316C4"/>
    <w:multiLevelType w:val="hybridMultilevel"/>
    <w:tmpl w:val="12CEB7DC"/>
    <w:lvl w:ilvl="0" w:tplc="FA2AA8B2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74D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A196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AA3F0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DF3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D2C4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A50C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E6F92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FF04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9A2191"/>
    <w:multiLevelType w:val="hybridMultilevel"/>
    <w:tmpl w:val="D7A095EA"/>
    <w:lvl w:ilvl="0" w:tplc="C55E638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26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3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B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8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4C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27C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00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B5F78"/>
    <w:multiLevelType w:val="hybridMultilevel"/>
    <w:tmpl w:val="8BE08550"/>
    <w:lvl w:ilvl="0" w:tplc="BEBA5E0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54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A3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6F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A8E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8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A7D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F1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A24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5174C"/>
    <w:multiLevelType w:val="hybridMultilevel"/>
    <w:tmpl w:val="E31AD87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DBD"/>
    <w:multiLevelType w:val="hybridMultilevel"/>
    <w:tmpl w:val="06F677CA"/>
    <w:lvl w:ilvl="0" w:tplc="E714A0C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4D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8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87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A21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41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CF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06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8E3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D673F3"/>
    <w:multiLevelType w:val="hybridMultilevel"/>
    <w:tmpl w:val="06649FEE"/>
    <w:lvl w:ilvl="0" w:tplc="1EA60C10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87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A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806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026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0A0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0C8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002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AB4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A510DA"/>
    <w:multiLevelType w:val="hybridMultilevel"/>
    <w:tmpl w:val="66A41F58"/>
    <w:lvl w:ilvl="0" w:tplc="BF828B76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09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2D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A80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C6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C9C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C1B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3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A7A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971E1"/>
    <w:multiLevelType w:val="hybridMultilevel"/>
    <w:tmpl w:val="0CC09546"/>
    <w:lvl w:ilvl="0" w:tplc="1F541B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6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A62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5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6E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E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AE0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AE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69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7F3B76"/>
    <w:multiLevelType w:val="hybridMultilevel"/>
    <w:tmpl w:val="BD1C65BC"/>
    <w:lvl w:ilvl="0" w:tplc="565EB9E2">
      <w:start w:val="1"/>
      <w:numFmt w:val="decimal"/>
      <w:lvlText w:val="%1.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8A16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4B74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664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2F8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82158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EAAB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61396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A442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3763C5"/>
    <w:multiLevelType w:val="hybridMultilevel"/>
    <w:tmpl w:val="8004801A"/>
    <w:lvl w:ilvl="0" w:tplc="DD12827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CD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C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ED3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7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16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6F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60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2B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872DC"/>
    <w:multiLevelType w:val="hybridMultilevel"/>
    <w:tmpl w:val="4FACD080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52C17405"/>
    <w:multiLevelType w:val="hybridMultilevel"/>
    <w:tmpl w:val="4790C6F4"/>
    <w:lvl w:ilvl="0" w:tplc="1228E314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EF8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D25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6D26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18D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CBBE0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F818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1BE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B1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4B4BAD"/>
    <w:multiLevelType w:val="hybridMultilevel"/>
    <w:tmpl w:val="CFE07074"/>
    <w:lvl w:ilvl="0" w:tplc="B0FE832C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CB23C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06746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A9400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ABF30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63BEC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4449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205E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A5EF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3B2A39"/>
    <w:multiLevelType w:val="hybridMultilevel"/>
    <w:tmpl w:val="0D2CAA3C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9" w15:restartNumberingAfterBreak="0">
    <w:nsid w:val="771C3F9D"/>
    <w:multiLevelType w:val="hybridMultilevel"/>
    <w:tmpl w:val="5980FA0E"/>
    <w:lvl w:ilvl="0" w:tplc="B3705178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6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E5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51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E9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2A8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63B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05D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888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02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4064A"/>
    <w:multiLevelType w:val="hybridMultilevel"/>
    <w:tmpl w:val="860ABE96"/>
    <w:lvl w:ilvl="0" w:tplc="E64EE42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4"/>
  </w:num>
  <w:num w:numId="19">
    <w:abstractNumId w:val="18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C4"/>
    <w:rsid w:val="00125CEE"/>
    <w:rsid w:val="0017049D"/>
    <w:rsid w:val="0029045D"/>
    <w:rsid w:val="00306F13"/>
    <w:rsid w:val="003145B2"/>
    <w:rsid w:val="003279F8"/>
    <w:rsid w:val="00363439"/>
    <w:rsid w:val="00385EDA"/>
    <w:rsid w:val="003C08A5"/>
    <w:rsid w:val="005659B5"/>
    <w:rsid w:val="005714C4"/>
    <w:rsid w:val="00624996"/>
    <w:rsid w:val="006A07A2"/>
    <w:rsid w:val="006B62EB"/>
    <w:rsid w:val="006F0D3A"/>
    <w:rsid w:val="007076C7"/>
    <w:rsid w:val="007307AD"/>
    <w:rsid w:val="00771F71"/>
    <w:rsid w:val="007964EA"/>
    <w:rsid w:val="00835F6E"/>
    <w:rsid w:val="00934893"/>
    <w:rsid w:val="009B6DCF"/>
    <w:rsid w:val="009B6FD3"/>
    <w:rsid w:val="00A747E5"/>
    <w:rsid w:val="00B811AC"/>
    <w:rsid w:val="00BF5AD7"/>
    <w:rsid w:val="00C61CBF"/>
    <w:rsid w:val="00C86581"/>
    <w:rsid w:val="00E7154F"/>
    <w:rsid w:val="00E80F14"/>
    <w:rsid w:val="00E845B6"/>
    <w:rsid w:val="00F91EB4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F492B-5C1B-4E19-ADB7-313E06F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1" w:line="268" w:lineRule="auto"/>
      <w:ind w:left="10" w:hanging="10"/>
      <w:jc w:val="both"/>
    </w:pPr>
    <w:rPr>
      <w:rFonts w:ascii="Arial" w:eastAsia="Arial" w:hAnsi="Arial" w:cs="Arial"/>
      <w:color w:val="39302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E5"/>
    <w:rPr>
      <w:rFonts w:ascii="Segoe UI" w:eastAsia="Arial" w:hAnsi="Segoe UI" w:cs="Segoe UI"/>
      <w:color w:val="39302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7E5"/>
    <w:rPr>
      <w:rFonts w:ascii="Arial" w:eastAsia="Arial" w:hAnsi="Arial" w:cs="Arial"/>
      <w:color w:val="39302A"/>
      <w:sz w:val="24"/>
    </w:rPr>
  </w:style>
  <w:style w:type="character" w:styleId="a7">
    <w:name w:val="Emphasis"/>
    <w:basedOn w:val="a0"/>
    <w:uiPriority w:val="20"/>
    <w:qFormat/>
    <w:rsid w:val="005659B5"/>
    <w:rPr>
      <w:i/>
      <w:iCs/>
    </w:rPr>
  </w:style>
  <w:style w:type="paragraph" w:styleId="a8">
    <w:name w:val="List Paragraph"/>
    <w:basedOn w:val="a"/>
    <w:uiPriority w:val="34"/>
    <w:qFormat/>
    <w:rsid w:val="003145B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1F7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771F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75BA-D5BE-40F8-8921-A165E051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de Resurse pentru Tineret DACIA</dc:creator>
  <cp:keywords/>
  <cp:lastModifiedBy>User</cp:lastModifiedBy>
  <cp:revision>2</cp:revision>
  <cp:lastPrinted>2022-12-02T12:04:00Z</cp:lastPrinted>
  <dcterms:created xsi:type="dcterms:W3CDTF">2022-12-09T15:14:00Z</dcterms:created>
  <dcterms:modified xsi:type="dcterms:W3CDTF">2022-12-09T15:14:00Z</dcterms:modified>
</cp:coreProperties>
</file>