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16"/>
        <w:gridCol w:w="1557"/>
        <w:gridCol w:w="4187"/>
      </w:tblGrid>
      <w:tr w:rsidR="001F7643" w:rsidTr="001F7643">
        <w:trPr>
          <w:trHeight w:val="1904"/>
        </w:trPr>
        <w:tc>
          <w:tcPr>
            <w:tcW w:w="45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F7643" w:rsidRDefault="001F7643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ind w:right="-146"/>
              <w:jc w:val="center"/>
              <w:rPr>
                <w:sz w:val="26"/>
                <w:szCs w:val="26"/>
                <w:lang w:val="ro-MD"/>
              </w:rPr>
            </w:pPr>
          </w:p>
          <w:p w:rsidR="001F7643" w:rsidRDefault="001F7643">
            <w:pPr>
              <w:keepNext/>
              <w:widowControl w:val="0"/>
              <w:autoSpaceDE w:val="0"/>
              <w:autoSpaceDN w:val="0"/>
              <w:adjustRightInd w:val="0"/>
              <w:spacing w:line="252" w:lineRule="auto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REPUBLICA MOLDOVA</w:t>
            </w:r>
          </w:p>
          <w:p w:rsidR="001F7643" w:rsidRDefault="001F764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 xml:space="preserve">CONSILIUL RAIONAL </w:t>
            </w:r>
          </w:p>
          <w:p w:rsidR="001F7643" w:rsidRDefault="001F7643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HÎNCEŞTI</w:t>
            </w:r>
          </w:p>
          <w:p w:rsidR="001F7643" w:rsidRDefault="001F76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>MD-3400, mun. Hînceşti, str. M. Hîncu, 138</w:t>
            </w:r>
          </w:p>
          <w:p w:rsidR="001F7643" w:rsidRDefault="001F76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>tel. (269) 2-20-48, fax (269) 2-23-02,</w:t>
            </w:r>
          </w:p>
          <w:p w:rsidR="001F7643" w:rsidRDefault="001F76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consiliul@hincesti.md</w:t>
            </w:r>
          </w:p>
          <w:p w:rsidR="001F7643" w:rsidRDefault="001F76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left="72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F7643" w:rsidRDefault="001F764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9144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F7643" w:rsidRDefault="001F76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РЕСПУБЛИКА МОЛДОВА</w:t>
            </w:r>
          </w:p>
          <w:p w:rsidR="001F7643" w:rsidRDefault="001F76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:rsidR="001F7643" w:rsidRDefault="001F76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lang w:val="ro-MD"/>
              </w:rPr>
              <w:t>. Хынчешть, ул. М.Хынку, 138</w:t>
            </w:r>
          </w:p>
          <w:p w:rsidR="001F7643" w:rsidRDefault="001F764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>тел. (269) 2-20-48, факс (269) 2-23-02,</w:t>
            </w:r>
          </w:p>
          <w:p w:rsidR="001F7643" w:rsidRDefault="001F764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szCs w:val="20"/>
                <w:u w:val="single"/>
                <w:lang w:val="ro-MD"/>
              </w:rPr>
              <w:t>consiliul@hincesti.md</w:t>
            </w:r>
          </w:p>
          <w:p w:rsidR="001F7643" w:rsidRDefault="001F7643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:rsidR="001F7643" w:rsidRDefault="001F7643" w:rsidP="001F7643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</w:t>
      </w:r>
    </w:p>
    <w:p w:rsidR="001F7643" w:rsidRDefault="001F7643" w:rsidP="001F7643">
      <w:pPr>
        <w:jc w:val="right"/>
        <w:rPr>
          <w:b/>
          <w:lang w:val="ro-MD"/>
        </w:rPr>
      </w:pPr>
      <w:r>
        <w:rPr>
          <w:b/>
          <w:lang w:val="ro-MD"/>
        </w:rPr>
        <w:t>Proiect</w:t>
      </w:r>
    </w:p>
    <w:p w:rsidR="001F7643" w:rsidRDefault="001F7643" w:rsidP="001F7643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</w:t>
      </w:r>
    </w:p>
    <w:p w:rsidR="001F7643" w:rsidRDefault="001F7643" w:rsidP="001F7643">
      <w:pPr>
        <w:rPr>
          <w:b/>
          <w:sz w:val="32"/>
          <w:szCs w:val="32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</w:t>
      </w:r>
      <w:r>
        <w:rPr>
          <w:b/>
          <w:sz w:val="32"/>
          <w:szCs w:val="32"/>
          <w:lang w:val="ro-RO"/>
        </w:rPr>
        <w:t>D E C I Z I E</w:t>
      </w:r>
    </w:p>
    <w:p w:rsidR="001F7643" w:rsidRDefault="001F7643" w:rsidP="001F7643">
      <w:pPr>
        <w:tabs>
          <w:tab w:val="left" w:pos="370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mun. Hînceşti</w:t>
      </w:r>
    </w:p>
    <w:p w:rsidR="001F7643" w:rsidRDefault="001F7643" w:rsidP="001F7643">
      <w:pPr>
        <w:rPr>
          <w:sz w:val="26"/>
          <w:szCs w:val="26"/>
          <w:lang w:val="ro-RO"/>
        </w:rPr>
      </w:pPr>
    </w:p>
    <w:p w:rsidR="001F7643" w:rsidRDefault="001F7643" w:rsidP="001F7643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din ___ decembrie 2022                                            </w:t>
      </w:r>
      <w:r>
        <w:rPr>
          <w:b/>
          <w:sz w:val="26"/>
          <w:szCs w:val="26"/>
          <w:lang w:val="ro-RO"/>
        </w:rPr>
        <w:tab/>
        <w:t xml:space="preserve"> 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>nr. 05  /</w:t>
      </w:r>
    </w:p>
    <w:p w:rsidR="001F7643" w:rsidRDefault="001F7643" w:rsidP="001F7643">
      <w:pPr>
        <w:rPr>
          <w:sz w:val="26"/>
          <w:szCs w:val="26"/>
          <w:lang w:val="ro-RO"/>
        </w:rPr>
      </w:pPr>
    </w:p>
    <w:p w:rsidR="001F7643" w:rsidRDefault="001F7643" w:rsidP="001F7643">
      <w:pPr>
        <w:ind w:left="180" w:hanging="180"/>
        <w:rPr>
          <w:b/>
          <w:sz w:val="26"/>
          <w:szCs w:val="26"/>
          <w:lang w:val="ro-RO"/>
        </w:rPr>
      </w:pPr>
      <w:bookmarkStart w:id="0" w:name="_GoBack"/>
      <w:r>
        <w:rPr>
          <w:b/>
          <w:sz w:val="26"/>
          <w:szCs w:val="26"/>
          <w:lang w:val="ro-RO"/>
        </w:rPr>
        <w:t>Cu privire la aprobarea programului concediilor</w:t>
      </w:r>
    </w:p>
    <w:p w:rsidR="001F7643" w:rsidRDefault="001F7643" w:rsidP="001F7643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de odihnă pentru anul 2023</w:t>
      </w:r>
    </w:p>
    <w:p w:rsidR="001F7643" w:rsidRDefault="001F7643" w:rsidP="001F7643">
      <w:pPr>
        <w:rPr>
          <w:sz w:val="26"/>
          <w:szCs w:val="26"/>
          <w:lang w:val="ro-RO"/>
        </w:rPr>
      </w:pPr>
    </w:p>
    <w:bookmarkEnd w:id="0"/>
    <w:p w:rsidR="001F7643" w:rsidRDefault="001F7643" w:rsidP="001F7643">
      <w:pPr>
        <w:tabs>
          <w:tab w:val="left" w:pos="180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În conformitate cu prevederile art. 43 alin. (2) şi art. 46 al Legii privind administrația publică locală nr.436-XVI din 28.12.2006  şi în temeiul prevederilor art.116 al Codului Muncii al Republicii Moldova nr.154-XV din 28.03.2003, precum şi în corespundere cu  doleanțele salariaților, Consiliul Raional </w:t>
      </w:r>
      <w:r>
        <w:rPr>
          <w:b/>
          <w:sz w:val="26"/>
          <w:szCs w:val="26"/>
          <w:lang w:val="ro-RO"/>
        </w:rPr>
        <w:t>DECIDE</w:t>
      </w:r>
      <w:r>
        <w:rPr>
          <w:sz w:val="26"/>
          <w:szCs w:val="26"/>
          <w:lang w:val="ro-RO"/>
        </w:rPr>
        <w:t>:</w:t>
      </w:r>
    </w:p>
    <w:p w:rsidR="001F7643" w:rsidRDefault="00CF22D8" w:rsidP="00CF22D8">
      <w:pPr>
        <w:tabs>
          <w:tab w:val="left" w:pos="535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:rsidR="001F7643" w:rsidRDefault="001F7643" w:rsidP="001F7643">
      <w:pPr>
        <w:ind w:firstLine="708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 Se aprobă programul concediilor de odihnă ale persoanelor alese şi numite în funcție de către Consiliul Raional pentru anul 2023, precum urmează:</w:t>
      </w:r>
    </w:p>
    <w:p w:rsidR="001F7643" w:rsidRDefault="001F7643" w:rsidP="001F7643">
      <w:pPr>
        <w:ind w:firstLine="708"/>
        <w:rPr>
          <w:sz w:val="26"/>
          <w:szCs w:val="26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069"/>
        <w:gridCol w:w="4140"/>
        <w:gridCol w:w="2478"/>
      </w:tblGrid>
      <w:tr w:rsidR="001F7643" w:rsidTr="001F7643">
        <w:trPr>
          <w:trHeight w:val="2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Nr./o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Nume, prenume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1F7643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right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 Levinschi Iurie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Președintele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highlight w:val="yellow"/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Tănase Lilia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Vicepreședinte al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71324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Loghin Anatolie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Vicepreședinte al raionului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965678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1F7643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Moraru Toma Elena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Secretar al Consiliului Raional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</w:t>
            </w:r>
            <w:r w:rsidR="00AB4D2A">
              <w:rPr>
                <w:lang w:val="ro-RO"/>
              </w:rPr>
              <w:t xml:space="preserve"> august;</w:t>
            </w:r>
            <w:r w:rsidR="00965678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septembrie</w:t>
            </w:r>
          </w:p>
        </w:tc>
      </w:tr>
      <w:tr w:rsidR="001F7643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Erhan Galina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Șef, Direcția Finanțe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71324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aprilie-mai, august-septembrie</w:t>
            </w:r>
          </w:p>
        </w:tc>
      </w:tr>
      <w:tr w:rsidR="001F7643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Tonu Valentina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Șef, Direcția Învățământ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71324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RPr="00171324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Călugăru Tamara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Şef, Direcția Asistență Socială şi Protecția Familiei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71324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RPr="00171324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Vlas Larisa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Şef</w:t>
            </w:r>
            <w:r w:rsidR="00171324">
              <w:rPr>
                <w:lang w:val="ro-RO"/>
              </w:rPr>
              <w:t>-interimar</w:t>
            </w:r>
            <w:r>
              <w:rPr>
                <w:lang w:val="ro-RO"/>
              </w:rPr>
              <w:t>, Direcția Cultură şi Turism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171324">
              <w:rPr>
                <w:lang w:val="ro-RO"/>
              </w:rPr>
              <w:t>inuie-iulie</w:t>
            </w:r>
          </w:p>
        </w:tc>
      </w:tr>
      <w:tr w:rsidR="001F7643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Sîrbu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Şef, Direcția Agricultură şi Alimentație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RPr="00171324" w:rsidTr="001F764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Nichifor Elena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Şef, Direcția Economie și Cooperare Transfrontalieră.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71324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februarie, iulie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Ciubotaru Petru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 , IMSP, Spitalul Raional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AB4D2A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Coșleț Carolina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Șef interimar, IMSP, CMF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965678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iulie, decembrie</w:t>
            </w:r>
          </w:p>
        </w:tc>
      </w:tr>
      <w:tr w:rsidR="001F7643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2E6C26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Purice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2E6C26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 xml:space="preserve">Director </w:t>
            </w:r>
            <w:r w:rsidR="001F7643">
              <w:rPr>
                <w:lang w:val="ro-RO"/>
              </w:rPr>
              <w:t>, IMSP, Spitalul Cărpineni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96567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iulie-august</w:t>
            </w:r>
          </w:p>
        </w:tc>
      </w:tr>
      <w:tr w:rsidR="001F7643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Babuci Constantin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Bobeica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965678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David Maria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Bujor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AB4D2A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Andronic Ludmila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Paşcani (Lăpuşna)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965678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Cherdevară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Ciuciuleni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4D134C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Lîsîi Boris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Sărata Galbenă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AB4D2A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</w:tr>
      <w:tr w:rsidR="001F7643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Danilicenco Igor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IMSP, CS Crasnoarmescoe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965678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Buza  Liliana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CR Maternal ,,Pro-femina”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965678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februarie</w:t>
            </w:r>
            <w:r w:rsidR="00AB4D2A">
              <w:rPr>
                <w:lang w:val="ro-RO"/>
              </w:rPr>
              <w:t>;</w:t>
            </w:r>
            <w:r>
              <w:rPr>
                <w:lang w:val="ro-RO"/>
              </w:rPr>
              <w:t xml:space="preserve"> iulie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Secrieru Vasile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Administrator, ÎM,,Centrul Stomatologic Hînceşti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AB4D2A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septembrie-octombrie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Cotovanu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IP „Centrul de zi pentru copii cu dizabilităţi severe Pasărea Albastră”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AB4D2A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iunie; august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Talmaci Irina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Director, IP CRC Conacul Manuc Bey Hîncești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965678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iunie-iulie</w:t>
            </w:r>
          </w:p>
        </w:tc>
      </w:tr>
      <w:tr w:rsidR="001F7643" w:rsidRPr="00965678" w:rsidTr="002E6C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1F7643">
            <w:pPr>
              <w:numPr>
                <w:ilvl w:val="0"/>
                <w:numId w:val="1"/>
              </w:numPr>
              <w:spacing w:line="252" w:lineRule="auto"/>
              <w:jc w:val="center"/>
              <w:rPr>
                <w:lang w:val="ro-R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Croitoru 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Manager al Instituției Publice Centrul Raional de Tineret Hîncești.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43" w:rsidRDefault="00AB4D2A">
            <w:pPr>
              <w:spacing w:line="252" w:lineRule="auto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</w:tr>
    </w:tbl>
    <w:p w:rsidR="001F7643" w:rsidRDefault="001F7643" w:rsidP="001F7643">
      <w:pPr>
        <w:rPr>
          <w:sz w:val="26"/>
          <w:szCs w:val="26"/>
          <w:lang w:val="ro-RO"/>
        </w:rPr>
      </w:pPr>
    </w:p>
    <w:p w:rsidR="001F7643" w:rsidRDefault="001F7643" w:rsidP="001F7643">
      <w:pPr>
        <w:tabs>
          <w:tab w:val="left" w:pos="900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>2. Se deleagă Președintelui Raionului, dlui Iurie LEVINSCHI, atribuția de acordare a concediilor de odihnă în conformitate cu programul aprobat şi altor persoane a</w:t>
      </w:r>
      <w:r w:rsidR="002E6C26">
        <w:rPr>
          <w:sz w:val="26"/>
          <w:szCs w:val="26"/>
          <w:lang w:val="ro-RO"/>
        </w:rPr>
        <w:t>ngajate pe parcursul anului 2023</w:t>
      </w:r>
      <w:r>
        <w:rPr>
          <w:sz w:val="26"/>
          <w:szCs w:val="26"/>
          <w:lang w:val="ro-RO"/>
        </w:rPr>
        <w:t xml:space="preserve"> în funcții de șefi de</w:t>
      </w:r>
      <w:r>
        <w:rPr>
          <w:color w:val="000000"/>
          <w:sz w:val="26"/>
          <w:szCs w:val="26"/>
          <w:lang w:val="ro-RO"/>
        </w:rPr>
        <w:t xml:space="preserve"> direcții, instituții publice şi alte subdiviziuni.</w:t>
      </w:r>
      <w:r>
        <w:rPr>
          <w:sz w:val="26"/>
          <w:szCs w:val="26"/>
          <w:lang w:val="ro-RO"/>
        </w:rPr>
        <w:t xml:space="preserve"> </w:t>
      </w:r>
    </w:p>
    <w:p w:rsidR="001F7643" w:rsidRDefault="001F7643" w:rsidP="001F7643">
      <w:pPr>
        <w:rPr>
          <w:b/>
          <w:sz w:val="26"/>
          <w:szCs w:val="26"/>
          <w:lang w:val="ro-RO"/>
        </w:rPr>
      </w:pPr>
    </w:p>
    <w:p w:rsidR="001F7643" w:rsidRDefault="001F7643" w:rsidP="001F7643">
      <w:pPr>
        <w:rPr>
          <w:b/>
          <w:sz w:val="26"/>
          <w:szCs w:val="26"/>
          <w:lang w:val="ro-RO"/>
        </w:rPr>
      </w:pPr>
    </w:p>
    <w:p w:rsidR="001F7643" w:rsidRDefault="001F7643" w:rsidP="001F7643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Preşedintele şedinţei</w:t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  <w:t xml:space="preserve">               _____________</w:t>
      </w:r>
    </w:p>
    <w:p w:rsidR="001F7643" w:rsidRDefault="001F7643" w:rsidP="001F7643">
      <w:pPr>
        <w:rPr>
          <w:b/>
          <w:sz w:val="26"/>
          <w:szCs w:val="26"/>
          <w:lang w:val="ro-RO"/>
        </w:rPr>
      </w:pPr>
    </w:p>
    <w:p w:rsidR="001F7643" w:rsidRDefault="001F7643" w:rsidP="001F7643">
      <w:pPr>
        <w:ind w:firstLine="708"/>
        <w:rPr>
          <w:sz w:val="26"/>
          <w:szCs w:val="26"/>
          <w:u w:val="single"/>
          <w:lang w:val="ro-RO"/>
        </w:rPr>
      </w:pPr>
      <w:r>
        <w:rPr>
          <w:sz w:val="26"/>
          <w:szCs w:val="26"/>
          <w:u w:val="single"/>
          <w:lang w:val="ro-RO"/>
        </w:rPr>
        <w:t>Contrasemnează:</w:t>
      </w:r>
    </w:p>
    <w:p w:rsidR="001F7643" w:rsidRDefault="001F7643" w:rsidP="001F7643">
      <w:pPr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Secretarul</w:t>
      </w:r>
    </w:p>
    <w:p w:rsidR="001F7643" w:rsidRDefault="001F7643" w:rsidP="001F7643">
      <w:pPr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al Consiliului Raional Hînceşti                                 Elena MORARU TOMA           </w:t>
      </w:r>
    </w:p>
    <w:p w:rsidR="001F7643" w:rsidRDefault="001F7643" w:rsidP="001F7643">
      <w:pPr>
        <w:rPr>
          <w:lang w:val="ro-RO"/>
        </w:rPr>
      </w:pPr>
    </w:p>
    <w:p w:rsidR="001F7643" w:rsidRDefault="001F7643" w:rsidP="001F7643">
      <w:pPr>
        <w:rPr>
          <w:lang w:val="ro-RO"/>
        </w:rPr>
      </w:pPr>
    </w:p>
    <w:p w:rsidR="001F7643" w:rsidRDefault="001F7643" w:rsidP="001F7643">
      <w:pPr>
        <w:rPr>
          <w:lang w:val="ro-RO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Default="001F7643" w:rsidP="001F7643">
      <w:pPr>
        <w:rPr>
          <w:lang w:val="en-US"/>
        </w:rPr>
      </w:pPr>
    </w:p>
    <w:p w:rsidR="001F7643" w:rsidRPr="00301D37" w:rsidRDefault="001F7643" w:rsidP="001F7643">
      <w:pPr>
        <w:rPr>
          <w:lang w:val="pt-BR"/>
        </w:rPr>
      </w:pPr>
      <w:r w:rsidRPr="00301D37">
        <w:rPr>
          <w:lang w:val="pt-BR"/>
        </w:rPr>
        <w:t>Inițiat :___________________ Iurie LEVINSCHI, Președintele raionului,</w:t>
      </w:r>
    </w:p>
    <w:p w:rsidR="001F7643" w:rsidRDefault="001F7643" w:rsidP="001F7643">
      <w:pPr>
        <w:rPr>
          <w:lang w:val="en-US"/>
        </w:rPr>
      </w:pPr>
      <w:proofErr w:type="spellStart"/>
      <w:r>
        <w:rPr>
          <w:lang w:val="en-US"/>
        </w:rPr>
        <w:t>Elaborat</w:t>
      </w:r>
      <w:proofErr w:type="spellEnd"/>
      <w:r>
        <w:rPr>
          <w:lang w:val="en-US"/>
        </w:rPr>
        <w:t xml:space="preserve">: _________________ </w:t>
      </w:r>
      <w:proofErr w:type="spellStart"/>
      <w:r>
        <w:rPr>
          <w:lang w:val="en-US"/>
        </w:rPr>
        <w:t>Dionis</w:t>
      </w:r>
      <w:proofErr w:type="spellEnd"/>
      <w:r>
        <w:rPr>
          <w:lang w:val="en-US"/>
        </w:rPr>
        <w:t xml:space="preserve"> URSU,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secție</w:t>
      </w:r>
      <w:proofErr w:type="spellEnd"/>
      <w:r>
        <w:rPr>
          <w:lang w:val="en-US"/>
        </w:rPr>
        <w:t xml:space="preserve"> APPSP,</w:t>
      </w:r>
    </w:p>
    <w:p w:rsidR="001F7643" w:rsidRDefault="001F7643" w:rsidP="001F7643">
      <w:pPr>
        <w:rPr>
          <w:lang w:val="en-US"/>
        </w:rPr>
      </w:pPr>
      <w:proofErr w:type="spellStart"/>
      <w:r>
        <w:rPr>
          <w:lang w:val="en-US"/>
        </w:rPr>
        <w:t>Avizat</w:t>
      </w:r>
      <w:proofErr w:type="spellEnd"/>
      <w:r>
        <w:rPr>
          <w:lang w:val="en-US"/>
        </w:rPr>
        <w:t>: _________________</w:t>
      </w:r>
      <w:proofErr w:type="gramStart"/>
      <w:r>
        <w:rPr>
          <w:lang w:val="en-US"/>
        </w:rPr>
        <w:t>_  Sergiu</w:t>
      </w:r>
      <w:proofErr w:type="gramEnd"/>
      <w:r>
        <w:rPr>
          <w:lang w:val="en-US"/>
        </w:rPr>
        <w:t xml:space="preserve"> PASCAL, specialist principal (jurist)</w:t>
      </w:r>
    </w:p>
    <w:p w:rsidR="001F7643" w:rsidRDefault="001F7643" w:rsidP="001F7643">
      <w:pPr>
        <w:ind w:left="142"/>
        <w:jc w:val="center"/>
        <w:rPr>
          <w:b/>
          <w:sz w:val="28"/>
          <w:szCs w:val="28"/>
          <w:lang w:val="ro-RO"/>
        </w:rPr>
      </w:pPr>
    </w:p>
    <w:p w:rsidR="001F7643" w:rsidRDefault="001F7643" w:rsidP="001F7643">
      <w:pPr>
        <w:ind w:left="142"/>
        <w:jc w:val="center"/>
        <w:rPr>
          <w:b/>
          <w:sz w:val="28"/>
          <w:szCs w:val="28"/>
          <w:lang w:val="ro-RO"/>
        </w:rPr>
      </w:pPr>
    </w:p>
    <w:p w:rsidR="001F7643" w:rsidRDefault="001F7643" w:rsidP="001F7643">
      <w:pPr>
        <w:ind w:left="142"/>
        <w:jc w:val="center"/>
        <w:rPr>
          <w:b/>
          <w:sz w:val="28"/>
          <w:szCs w:val="28"/>
          <w:lang w:val="ro-RO"/>
        </w:rPr>
      </w:pPr>
    </w:p>
    <w:p w:rsidR="00277997" w:rsidRDefault="00277997" w:rsidP="001F7643">
      <w:pPr>
        <w:ind w:left="142"/>
        <w:jc w:val="center"/>
        <w:rPr>
          <w:b/>
          <w:sz w:val="28"/>
          <w:szCs w:val="28"/>
          <w:lang w:val="ro-RO"/>
        </w:rPr>
      </w:pPr>
    </w:p>
    <w:p w:rsidR="00277997" w:rsidRDefault="00277997" w:rsidP="001F7643">
      <w:pPr>
        <w:ind w:left="142"/>
        <w:jc w:val="center"/>
        <w:rPr>
          <w:b/>
          <w:sz w:val="28"/>
          <w:szCs w:val="28"/>
          <w:lang w:val="ro-RO"/>
        </w:rPr>
      </w:pPr>
    </w:p>
    <w:p w:rsidR="001F7643" w:rsidRDefault="001F7643" w:rsidP="001F7643">
      <w:pPr>
        <w:ind w:left="142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NOTA INFORMATIVĂ</w:t>
      </w:r>
    </w:p>
    <w:p w:rsidR="001F7643" w:rsidRDefault="001F7643" w:rsidP="001F7643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la proiectul Deciziei</w:t>
      </w:r>
    </w:p>
    <w:p w:rsidR="001F7643" w:rsidRDefault="001F7643" w:rsidP="001F764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Cu privire la  aprobarea programului concediilor de odihnă </w:t>
      </w:r>
    </w:p>
    <w:p w:rsidR="001F7643" w:rsidRDefault="002E6C26" w:rsidP="001F7643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pentru anul 2023</w:t>
      </w:r>
    </w:p>
    <w:p w:rsidR="001F7643" w:rsidRDefault="001F7643" w:rsidP="001F7643">
      <w:pPr>
        <w:rPr>
          <w:b/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F7643" w:rsidRDefault="001F7643">
            <w:pPr>
              <w:spacing w:line="254" w:lineRule="auto"/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4" w:lineRule="auto"/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ro-RO"/>
              </w:rPr>
              <w:t>Inițiatorul proiectului de decizie este P</w:t>
            </w:r>
            <w:r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>
              <w:rPr>
                <w:sz w:val="28"/>
                <w:szCs w:val="28"/>
                <w:lang w:val="ro-RO"/>
              </w:rPr>
              <w:t>Raionului Hîncești</w:t>
            </w:r>
            <w:r w:rsidR="003171B0">
              <w:rPr>
                <w:sz w:val="28"/>
                <w:szCs w:val="28"/>
                <w:lang w:val="ro-RO"/>
              </w:rPr>
              <w:t>.  Proiectul de decizie a fost elaborat de către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șef</w:t>
            </w:r>
            <w:r w:rsidR="003171B0">
              <w:rPr>
                <w:sz w:val="28"/>
                <w:szCs w:val="28"/>
                <w:lang w:val="pt-BR"/>
              </w:rPr>
              <w:t>ul</w:t>
            </w:r>
            <w:r>
              <w:rPr>
                <w:sz w:val="28"/>
                <w:szCs w:val="28"/>
                <w:lang w:val="pt-BR"/>
              </w:rPr>
              <w:t xml:space="preserve"> secție</w:t>
            </w:r>
            <w:r w:rsidR="003171B0">
              <w:rPr>
                <w:sz w:val="28"/>
                <w:szCs w:val="28"/>
                <w:lang w:val="pt-BR"/>
              </w:rPr>
              <w:t>i</w:t>
            </w:r>
            <w:r>
              <w:rPr>
                <w:sz w:val="28"/>
                <w:szCs w:val="28"/>
                <w:lang w:val="pt-BR"/>
              </w:rPr>
              <w:t xml:space="preserve"> APPSP, Dionis URSU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</w:tr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643" w:rsidRDefault="001F7643">
            <w:pPr>
              <w:spacing w:line="254" w:lineRule="auto"/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4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Codul Muncii al Republicii Moldova, </w:t>
            </w:r>
          </w:p>
          <w:p w:rsidR="001F7643" w:rsidRDefault="001F7643">
            <w:pPr>
              <w:spacing w:line="254" w:lineRule="auto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Art.116. Programarea concediilor de odihnă anuale</w:t>
            </w:r>
          </w:p>
          <w:p w:rsidR="001F7643" w:rsidRDefault="001F7643">
            <w:pPr>
              <w:spacing w:line="254" w:lineRule="auto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(1)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Programarea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pentru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următor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se face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angajator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acord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reprezentanţii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cu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cel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puţin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săptămîni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înainte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sfârşitul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fiecărui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an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calendaristic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 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(2) La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programarea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se ţine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atât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dorinţa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cât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şi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necesitatea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asigurării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bunei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funcţionări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unităţii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 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(3)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căror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soţii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află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maternitate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li se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acordă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cereri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scrise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concediul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anual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concomitent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concediul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soţiilor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(4)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Salariaţilor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vîrstă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pînă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la 18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părinţilor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care au 2 şi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mulţi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copii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vîrstă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pînă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la 16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copil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dizabilităţi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şi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părinţilor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singuri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care au un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copil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vîrstă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pînă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la 16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concediile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li se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acordă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perioada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vară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cereri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scrise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orice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altă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perioadă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anului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br/>
              <w:t xml:space="preserve">(5)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Programarea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concediilor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odihnă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anuale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obligatorie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atît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pentru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angajator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cît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şi pentru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salariat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Salariatul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trebuie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să fie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prevenit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scrisă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despre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data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începerii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concediului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cel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puţin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săptămîni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înainte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1F7643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643" w:rsidRDefault="001F7643">
            <w:pPr>
              <w:spacing w:line="254" w:lineRule="auto"/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3. Scopul şi obiectivele proiectului </w:t>
            </w:r>
          </w:p>
        </w:tc>
      </w:tr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4" w:lineRule="auto"/>
              <w:jc w:val="both"/>
              <w:rPr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>
              <w:rPr>
                <w:sz w:val="28"/>
                <w:szCs w:val="28"/>
                <w:lang w:val="ro-RO"/>
              </w:rPr>
              <w:t>Proiectul de Decizie urmărește scopul de a stabili programarea concediilor de odihnă anual  persoanele alese și numite de către Consiliul Raional pentru asigurarea bunei funcționări a unității.</w:t>
            </w:r>
          </w:p>
        </w:tc>
      </w:tr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643" w:rsidRDefault="001F7643">
            <w:pPr>
              <w:spacing w:line="254" w:lineRule="auto"/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1F7643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4" w:lineRule="auto"/>
              <w:ind w:left="142"/>
              <w:jc w:val="both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>
              <w:rPr>
                <w:sz w:val="28"/>
                <w:szCs w:val="28"/>
                <w:lang w:val="ro-RO"/>
              </w:rPr>
              <w:t>Riscuri estimate nu sunt .</w:t>
            </w:r>
          </w:p>
        </w:tc>
      </w:tr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7643" w:rsidRDefault="001F7643">
            <w:pPr>
              <w:spacing w:line="254" w:lineRule="auto"/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1F7643" w:rsidRPr="00171324" w:rsidTr="001F7643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43" w:rsidRDefault="001F7643">
            <w:pPr>
              <w:spacing w:line="254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Proiectul</w:t>
            </w:r>
            <w:r w:rsidR="003171B0">
              <w:rPr>
                <w:sz w:val="28"/>
                <w:szCs w:val="28"/>
                <w:lang w:val="fr-FR"/>
              </w:rPr>
              <w:t xml:space="preserve"> de decizie nr. __ din ___</w:t>
            </w:r>
            <w:proofErr w:type="spellStart"/>
            <w:r w:rsidR="003171B0">
              <w:rPr>
                <w:sz w:val="28"/>
                <w:szCs w:val="28"/>
                <w:lang w:val="fr-FR"/>
              </w:rPr>
              <w:t>decembrie</w:t>
            </w:r>
            <w:proofErr w:type="spellEnd"/>
            <w:r w:rsidR="002E6C26">
              <w:rPr>
                <w:sz w:val="28"/>
                <w:szCs w:val="28"/>
                <w:lang w:val="fr-FR"/>
              </w:rPr>
              <w:t>, 2022</w:t>
            </w:r>
            <w:r>
              <w:rPr>
                <w:sz w:val="28"/>
                <w:szCs w:val="28"/>
                <w:lang w:val="fr-FR"/>
              </w:rPr>
              <w:t>,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>Cu privire la aprobarea programului conced</w:t>
            </w:r>
            <w:r w:rsidR="002E6C26">
              <w:rPr>
                <w:b/>
                <w:sz w:val="28"/>
                <w:szCs w:val="28"/>
                <w:lang w:val="pt-BR"/>
              </w:rPr>
              <w:t>iilor de odihnă pentru anul 2023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bCs/>
                <w:sz w:val="28"/>
                <w:szCs w:val="28"/>
                <w:lang w:val="pt-BR"/>
              </w:rPr>
              <w:t>nu</w:t>
            </w:r>
            <w:r>
              <w:rPr>
                <w:bCs/>
                <w:sz w:val="28"/>
                <w:szCs w:val="28"/>
                <w:lang w:val="ro-RO"/>
              </w:rPr>
              <w:t xml:space="preserve"> contravine şi nu necesită modificări ale actelor normative în vigoare.</w:t>
            </w:r>
          </w:p>
        </w:tc>
      </w:tr>
    </w:tbl>
    <w:p w:rsidR="001F7643" w:rsidRDefault="001F7643" w:rsidP="001F7643">
      <w:pPr>
        <w:ind w:left="142"/>
        <w:jc w:val="both"/>
        <w:rPr>
          <w:b/>
          <w:sz w:val="28"/>
          <w:szCs w:val="28"/>
          <w:lang w:val="ro-RO"/>
        </w:rPr>
      </w:pPr>
    </w:p>
    <w:p w:rsidR="001F7643" w:rsidRDefault="001F7643" w:rsidP="001F7643">
      <w:pPr>
        <w:ind w:left="142"/>
        <w:jc w:val="both"/>
        <w:rPr>
          <w:b/>
          <w:sz w:val="28"/>
          <w:szCs w:val="28"/>
          <w:lang w:val="ro-RO"/>
        </w:rPr>
      </w:pPr>
    </w:p>
    <w:p w:rsidR="001F7643" w:rsidRDefault="001F7643" w:rsidP="001F7643">
      <w:pPr>
        <w:ind w:left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Șef secție APPSP                             </w:t>
      </w:r>
      <w:r w:rsidR="003171B0">
        <w:rPr>
          <w:b/>
          <w:sz w:val="28"/>
          <w:szCs w:val="28"/>
          <w:lang w:val="ro-RO"/>
        </w:rPr>
        <w:t xml:space="preserve">         </w:t>
      </w:r>
      <w:r>
        <w:rPr>
          <w:b/>
          <w:sz w:val="28"/>
          <w:szCs w:val="28"/>
          <w:lang w:val="ro-RO"/>
        </w:rPr>
        <w:t xml:space="preserve">               Dionis URSU</w:t>
      </w:r>
    </w:p>
    <w:p w:rsidR="00463AD8" w:rsidRDefault="00463AD8">
      <w:pPr>
        <w:rPr>
          <w:lang w:val="en-US"/>
        </w:rPr>
      </w:pPr>
    </w:p>
    <w:p w:rsidR="00757B4F" w:rsidRDefault="00757B4F">
      <w:pPr>
        <w:rPr>
          <w:lang w:val="en-US"/>
        </w:rPr>
      </w:pPr>
    </w:p>
    <w:p w:rsidR="00757B4F" w:rsidRPr="003171B0" w:rsidRDefault="00757B4F">
      <w:pPr>
        <w:rPr>
          <w:lang w:val="en-US"/>
        </w:rPr>
      </w:pPr>
    </w:p>
    <w:sectPr w:rsidR="00757B4F" w:rsidRPr="003171B0" w:rsidSect="001F764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B5A56"/>
    <w:multiLevelType w:val="hybridMultilevel"/>
    <w:tmpl w:val="C804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B"/>
    <w:rsid w:val="00171324"/>
    <w:rsid w:val="001F7643"/>
    <w:rsid w:val="00277997"/>
    <w:rsid w:val="002E6C26"/>
    <w:rsid w:val="00301D37"/>
    <w:rsid w:val="003171B0"/>
    <w:rsid w:val="00463AD8"/>
    <w:rsid w:val="004D134C"/>
    <w:rsid w:val="00757B4F"/>
    <w:rsid w:val="00965678"/>
    <w:rsid w:val="00AB4D2A"/>
    <w:rsid w:val="00CC3D8B"/>
    <w:rsid w:val="00C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FDB2-10C4-4F15-943B-959429B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76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F764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B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B4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2022-12-06T13:38:00Z</cp:lastPrinted>
  <dcterms:created xsi:type="dcterms:W3CDTF">2022-12-06T14:37:00Z</dcterms:created>
  <dcterms:modified xsi:type="dcterms:W3CDTF">2022-12-06T14:37:00Z</dcterms:modified>
</cp:coreProperties>
</file>