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B9" w:rsidRDefault="00C4115D">
      <w:r>
        <w:rPr>
          <w:noProof/>
          <w:lang w:val="en-US"/>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C30CB9" w:rsidRDefault="00C30CB9">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C30CB9" w:rsidRDefault="00C30CB9">
                      <w:pPr>
                        <w:contextualSpacing/>
                      </w:pPr>
                    </w:p>
                  </w:txbxContent>
                </v:textbox>
                <w10:wrap anchorx="margin" anchory="page"/>
              </v:shape>
            </w:pict>
          </mc:Fallback>
        </mc:AlternateContent>
      </w:r>
    </w:p>
    <w:p w:rsidR="004025F7" w:rsidRPr="00C4392E" w:rsidRDefault="004025F7" w:rsidP="004025F7">
      <w:pPr>
        <w:jc w:val="center"/>
        <w:rPr>
          <w:b/>
          <w:sz w:val="28"/>
          <w:szCs w:val="28"/>
        </w:rPr>
      </w:pPr>
      <w:r w:rsidRPr="00C4392E">
        <w:rPr>
          <w:b/>
          <w:sz w:val="28"/>
          <w:szCs w:val="28"/>
        </w:rPr>
        <w:t>VOLUMUL 2</w:t>
      </w:r>
    </w:p>
    <w:p w:rsidR="004025F7" w:rsidRPr="00E425C1" w:rsidRDefault="004025F7" w:rsidP="004025F7">
      <w:pPr>
        <w:spacing w:before="360"/>
        <w:jc w:val="center"/>
        <w:rPr>
          <w:b/>
          <w:sz w:val="28"/>
          <w:szCs w:val="28"/>
          <w:lang w:val="ro-MD"/>
        </w:rPr>
      </w:pPr>
      <w:bookmarkStart w:id="0" w:name="_Toc71357730"/>
      <w:bookmarkStart w:id="1" w:name="_Toc71357944"/>
      <w:bookmarkStart w:id="2" w:name="_Toc72056418"/>
      <w:bookmarkStart w:id="3" w:name="_Toc76894272"/>
      <w:bookmarkStart w:id="4" w:name="_Toc76894411"/>
      <w:r w:rsidRPr="00E425C1">
        <w:rPr>
          <w:b/>
          <w:sz w:val="28"/>
          <w:szCs w:val="28"/>
          <w:lang w:val="ro-MD"/>
        </w:rPr>
        <w:t>SECȚIUNEA 3</w:t>
      </w:r>
    </w:p>
    <w:p w:rsidR="004025F7" w:rsidRPr="00E425C1" w:rsidRDefault="004025F7" w:rsidP="004025F7">
      <w:pPr>
        <w:spacing w:after="360"/>
        <w:jc w:val="center"/>
        <w:rPr>
          <w:b/>
          <w:sz w:val="28"/>
          <w:szCs w:val="28"/>
          <w:lang w:val="ro-MD"/>
        </w:rPr>
      </w:pPr>
      <w:r w:rsidRPr="00E425C1">
        <w:rPr>
          <w:b/>
          <w:sz w:val="28"/>
          <w:szCs w:val="28"/>
          <w:lang w:val="ro-MD"/>
        </w:rPr>
        <w:t>CONDITII SPECIALE</w:t>
      </w:r>
      <w:bookmarkStart w:id="5" w:name="_Toc71357731"/>
      <w:bookmarkStart w:id="6" w:name="_Toc71357945"/>
      <w:bookmarkStart w:id="7" w:name="_Toc72056419"/>
      <w:bookmarkStart w:id="8" w:name="_Toc76894412"/>
      <w:bookmarkEnd w:id="0"/>
      <w:bookmarkEnd w:id="1"/>
      <w:bookmarkEnd w:id="2"/>
      <w:bookmarkEnd w:id="3"/>
      <w:bookmarkEnd w:id="4"/>
    </w:p>
    <w:p w:rsidR="004025F7" w:rsidRPr="00E425C1" w:rsidRDefault="004025F7" w:rsidP="004025F7">
      <w:pPr>
        <w:spacing w:before="240" w:after="120"/>
        <w:outlineLvl w:val="0"/>
        <w:rPr>
          <w:szCs w:val="24"/>
          <w:lang w:val="ro-MD"/>
        </w:rPr>
      </w:pPr>
      <w:r w:rsidRPr="00E425C1">
        <w:rPr>
          <w:b/>
          <w:bCs/>
          <w:sz w:val="28"/>
          <w:szCs w:val="28"/>
          <w:lang w:val="ro-MD"/>
        </w:rPr>
        <w:t>CUPRINS</w:t>
      </w:r>
      <w:bookmarkEnd w:id="5"/>
      <w:bookmarkEnd w:id="6"/>
      <w:bookmarkEnd w:id="7"/>
      <w:bookmarkEnd w:id="8"/>
    </w:p>
    <w:p w:rsidR="004025F7" w:rsidRPr="00E425C1" w:rsidRDefault="004025F7" w:rsidP="004025F7">
      <w:pPr>
        <w:jc w:val="both"/>
        <w:outlineLvl w:val="0"/>
        <w:rPr>
          <w:sz w:val="22"/>
          <w:szCs w:val="22"/>
          <w:lang w:val="ro-MD"/>
        </w:rPr>
      </w:pPr>
      <w:r w:rsidRPr="00E425C1">
        <w:rPr>
          <w:sz w:val="22"/>
          <w:szCs w:val="22"/>
          <w:lang w:val="ro-MD"/>
        </w:rPr>
        <w:t xml:space="preserve">Aceste condiții amplifică și completează Condițiile Generale care guvernează Contractul. Cu excepția cazului în care Condițiile Speciale prevăd altfel, Condițiile Generale rămân pe deplin aplicabile. Numerotarea Articolelor din Condițiile Speciale nu este </w:t>
      </w:r>
      <w:r w:rsidR="00DF4B70" w:rsidRPr="00E425C1">
        <w:rPr>
          <w:sz w:val="22"/>
          <w:szCs w:val="22"/>
          <w:lang w:val="ro-MD"/>
        </w:rPr>
        <w:t>consecutive,</w:t>
      </w:r>
      <w:r w:rsidRPr="00E425C1">
        <w:rPr>
          <w:sz w:val="22"/>
          <w:szCs w:val="22"/>
          <w:lang w:val="ro-MD"/>
        </w:rPr>
        <w:t xml:space="preserve"> ci urmează numerotarea Condițiilor Generale. Alte Condiții Speciale trebuie indicate ulterior.</w:t>
      </w:r>
    </w:p>
    <w:p w:rsidR="004025F7" w:rsidRPr="00E425C1" w:rsidRDefault="004025F7" w:rsidP="004025F7">
      <w:pPr>
        <w:jc w:val="both"/>
        <w:rPr>
          <w:b/>
          <w:sz w:val="22"/>
          <w:szCs w:val="22"/>
          <w:lang w:val="ro-MD"/>
        </w:rPr>
      </w:pPr>
    </w:p>
    <w:p w:rsidR="004025F7" w:rsidRPr="00E425C1" w:rsidRDefault="004025F7" w:rsidP="004025F7">
      <w:pPr>
        <w:pStyle w:val="a8"/>
        <w:jc w:val="both"/>
        <w:rPr>
          <w:rFonts w:ascii="Times New Roman" w:hAnsi="Times New Roman"/>
          <w:sz w:val="22"/>
          <w:szCs w:val="22"/>
          <w:lang w:val="ro-MD"/>
        </w:rPr>
      </w:pPr>
      <w:bookmarkStart w:id="9" w:name="_Toc76894414"/>
      <w:r w:rsidRPr="00E425C1">
        <w:rPr>
          <w:rFonts w:ascii="Times New Roman" w:hAnsi="Times New Roman"/>
          <w:sz w:val="22"/>
          <w:szCs w:val="22"/>
          <w:lang w:val="ro-MD"/>
        </w:rPr>
        <w:t>Articolul 2</w:t>
      </w:r>
      <w:r w:rsidRPr="00E425C1">
        <w:rPr>
          <w:rFonts w:ascii="Times New Roman" w:hAnsi="Times New Roman"/>
          <w:sz w:val="22"/>
          <w:szCs w:val="22"/>
          <w:lang w:val="ro-MD"/>
        </w:rPr>
        <w:tab/>
        <w:t>Limba contractului</w:t>
      </w:r>
      <w:bookmarkEnd w:id="9"/>
    </w:p>
    <w:p w:rsidR="004025F7" w:rsidRPr="00E425C1" w:rsidRDefault="004025F7" w:rsidP="004025F7">
      <w:pPr>
        <w:spacing w:before="120" w:after="120"/>
        <w:ind w:left="1134" w:hanging="567"/>
        <w:rPr>
          <w:sz w:val="22"/>
          <w:szCs w:val="22"/>
          <w:lang w:val="ro-MD"/>
        </w:rPr>
      </w:pPr>
      <w:r w:rsidRPr="00E425C1">
        <w:rPr>
          <w:bCs/>
          <w:sz w:val="22"/>
          <w:szCs w:val="22"/>
          <w:lang w:val="ro-MD"/>
        </w:rPr>
        <w:t>2.1</w:t>
      </w:r>
      <w:r w:rsidRPr="00E425C1">
        <w:rPr>
          <w:sz w:val="22"/>
          <w:szCs w:val="22"/>
          <w:lang w:val="ro-MD"/>
        </w:rPr>
        <w:tab/>
        <w:t xml:space="preserve">Limba folosită va fi </w:t>
      </w:r>
      <w:r w:rsidR="00537B8C" w:rsidRPr="00E425C1">
        <w:rPr>
          <w:color w:val="000000" w:themeColor="text1"/>
          <w:sz w:val="22"/>
          <w:szCs w:val="22"/>
          <w:lang w:val="ro-MD"/>
        </w:rPr>
        <w:t>româna.</w:t>
      </w:r>
      <w:r w:rsidRPr="00E425C1" w:rsidDel="009A2FAE">
        <w:rPr>
          <w:color w:val="000000" w:themeColor="text1"/>
          <w:sz w:val="22"/>
          <w:szCs w:val="22"/>
          <w:shd w:val="solid" w:color="C0C0C0" w:fill="FFFFFF"/>
          <w:lang w:val="ro-MD"/>
        </w:rPr>
        <w:t xml:space="preserve"> </w:t>
      </w:r>
    </w:p>
    <w:p w:rsidR="004025F7" w:rsidRPr="00E425C1" w:rsidRDefault="004025F7" w:rsidP="004025F7">
      <w:pPr>
        <w:spacing w:before="240"/>
        <w:ind w:left="1134" w:hanging="1134"/>
        <w:jc w:val="both"/>
        <w:rPr>
          <w:b/>
          <w:sz w:val="22"/>
          <w:szCs w:val="22"/>
          <w:lang w:val="ro-MD"/>
        </w:rPr>
      </w:pPr>
      <w:bookmarkStart w:id="10" w:name="_Toc76894416"/>
      <w:r w:rsidRPr="00E425C1">
        <w:rPr>
          <w:b/>
          <w:sz w:val="22"/>
          <w:szCs w:val="22"/>
          <w:lang w:val="ro-MD"/>
        </w:rPr>
        <w:t>Articolul 4</w:t>
      </w:r>
      <w:r w:rsidRPr="00E425C1">
        <w:rPr>
          <w:b/>
          <w:sz w:val="22"/>
          <w:szCs w:val="22"/>
          <w:lang w:val="ro-MD"/>
        </w:rPr>
        <w:tab/>
        <w:t>Comunicare</w:t>
      </w:r>
      <w:bookmarkEnd w:id="10"/>
    </w:p>
    <w:p w:rsidR="00537B8C" w:rsidRPr="00E425C1" w:rsidRDefault="004025F7" w:rsidP="00537B8C">
      <w:pPr>
        <w:spacing w:before="120" w:after="120"/>
        <w:ind w:left="1134" w:hanging="567"/>
        <w:rPr>
          <w:sz w:val="22"/>
          <w:szCs w:val="22"/>
          <w:lang w:val="ro-MD"/>
        </w:rPr>
      </w:pPr>
      <w:r w:rsidRPr="00E425C1">
        <w:rPr>
          <w:sz w:val="22"/>
          <w:szCs w:val="22"/>
          <w:lang w:val="ro-MD"/>
        </w:rPr>
        <w:t>4.1</w:t>
      </w:r>
      <w:r w:rsidRPr="00E425C1">
        <w:rPr>
          <w:sz w:val="22"/>
          <w:szCs w:val="22"/>
          <w:lang w:val="ro-MD"/>
        </w:rPr>
        <w:tab/>
      </w:r>
      <w:bookmarkStart w:id="11" w:name="_Toc76894417"/>
      <w:r w:rsidR="00537B8C" w:rsidRPr="00E425C1">
        <w:rPr>
          <w:sz w:val="22"/>
          <w:szCs w:val="22"/>
          <w:lang w:val="ro-MD"/>
        </w:rPr>
        <w:t>Numele:</w:t>
      </w:r>
    </w:p>
    <w:p w:rsidR="00537B8C" w:rsidRPr="00E425C1" w:rsidRDefault="00537B8C" w:rsidP="00537B8C">
      <w:pPr>
        <w:spacing w:before="120" w:after="120"/>
        <w:ind w:left="1134" w:hanging="567"/>
        <w:rPr>
          <w:sz w:val="22"/>
          <w:szCs w:val="22"/>
          <w:lang w:val="ro-MD"/>
        </w:rPr>
      </w:pPr>
      <w:r w:rsidRPr="00E425C1">
        <w:rPr>
          <w:sz w:val="22"/>
          <w:szCs w:val="22"/>
          <w:lang w:val="ro-MD"/>
        </w:rPr>
        <w:tab/>
        <w:t>Adresa:</w:t>
      </w:r>
    </w:p>
    <w:p w:rsidR="00537B8C" w:rsidRPr="00E425C1" w:rsidRDefault="00537B8C" w:rsidP="00537B8C">
      <w:pPr>
        <w:spacing w:before="120" w:after="120"/>
        <w:ind w:left="1134" w:hanging="567"/>
        <w:rPr>
          <w:sz w:val="22"/>
          <w:szCs w:val="22"/>
          <w:lang w:val="ro-MD"/>
        </w:rPr>
      </w:pPr>
      <w:r w:rsidRPr="00E425C1">
        <w:rPr>
          <w:sz w:val="22"/>
          <w:szCs w:val="22"/>
          <w:lang w:val="ro-MD"/>
        </w:rPr>
        <w:tab/>
        <w:t>E-mail:</w:t>
      </w:r>
    </w:p>
    <w:p w:rsidR="004025F7" w:rsidRPr="00E425C1" w:rsidRDefault="004025F7" w:rsidP="00537B8C">
      <w:pPr>
        <w:spacing w:before="120" w:after="120"/>
        <w:rPr>
          <w:b/>
          <w:sz w:val="22"/>
          <w:szCs w:val="22"/>
          <w:lang w:val="ro-MD"/>
        </w:rPr>
      </w:pPr>
      <w:r w:rsidRPr="00E425C1">
        <w:rPr>
          <w:b/>
          <w:sz w:val="22"/>
          <w:szCs w:val="22"/>
          <w:lang w:val="ro-MD"/>
        </w:rPr>
        <w:t>Articolul 5</w:t>
      </w:r>
      <w:r w:rsidRPr="00E425C1">
        <w:rPr>
          <w:b/>
          <w:sz w:val="22"/>
          <w:szCs w:val="22"/>
          <w:lang w:val="ro-MD"/>
        </w:rPr>
        <w:tab/>
        <w:t>Supraveghetorul și reprezentantul supraveghetorului</w:t>
      </w:r>
      <w:bookmarkEnd w:id="11"/>
    </w:p>
    <w:p w:rsidR="00537B8C" w:rsidRPr="00E425C1" w:rsidRDefault="004025F7" w:rsidP="00537B8C">
      <w:pPr>
        <w:pStyle w:val="HTML"/>
        <w:shd w:val="clear" w:color="auto" w:fill="F8F9FA"/>
        <w:ind w:left="1134" w:hanging="567"/>
        <w:jc w:val="both"/>
        <w:rPr>
          <w:rFonts w:ascii="Times New Roman" w:hAnsi="Times New Roman" w:cs="Times New Roman"/>
          <w:bCs/>
          <w:sz w:val="22"/>
          <w:szCs w:val="22"/>
          <w:lang w:val="ro-MD" w:eastAsia="zh-CN"/>
        </w:rPr>
      </w:pPr>
      <w:r w:rsidRPr="00E425C1">
        <w:rPr>
          <w:rFonts w:ascii="Times New Roman" w:hAnsi="Times New Roman" w:cs="Times New Roman"/>
          <w:bCs/>
          <w:snapToGrid w:val="0"/>
          <w:sz w:val="22"/>
          <w:szCs w:val="22"/>
          <w:lang w:val="ro-MD" w:eastAsia="en-US"/>
        </w:rPr>
        <w:t>5.2</w:t>
      </w:r>
      <w:r w:rsidRPr="00E425C1">
        <w:rPr>
          <w:sz w:val="22"/>
          <w:szCs w:val="22"/>
          <w:lang w:val="ro-MD"/>
        </w:rPr>
        <w:tab/>
      </w:r>
      <w:r w:rsidRPr="00E425C1">
        <w:rPr>
          <w:rFonts w:ascii="Times New Roman" w:hAnsi="Times New Roman" w:cs="Times New Roman"/>
          <w:bCs/>
          <w:sz w:val="22"/>
          <w:szCs w:val="22"/>
          <w:lang w:val="ro-MD" w:eastAsia="zh-CN"/>
        </w:rPr>
        <w:t xml:space="preserve">În cadrul acestui contract, Supraveghetorul nu își deleagă atribuțiile și autoritatea unui Reprezentant al Supraveghetorului. </w:t>
      </w:r>
      <w:r w:rsidR="00537B8C" w:rsidRPr="00E425C1">
        <w:rPr>
          <w:rFonts w:ascii="Times New Roman" w:hAnsi="Times New Roman" w:cs="Times New Roman"/>
          <w:bCs/>
          <w:sz w:val="22"/>
          <w:szCs w:val="22"/>
          <w:lang w:val="ro-MD" w:eastAsia="zh-CN"/>
        </w:rPr>
        <w:t>Autoritatea Contractantă va încheia un contract separat cu supraveghetorul tehnic.</w:t>
      </w:r>
    </w:p>
    <w:p w:rsidR="004025F7" w:rsidRPr="00E425C1" w:rsidRDefault="00537B8C" w:rsidP="00537B8C">
      <w:pPr>
        <w:spacing w:before="240"/>
        <w:ind w:left="1134" w:hanging="1134"/>
        <w:jc w:val="both"/>
        <w:rPr>
          <w:b/>
          <w:sz w:val="22"/>
          <w:szCs w:val="22"/>
          <w:lang w:val="ro-MD"/>
        </w:rPr>
      </w:pPr>
      <w:r w:rsidRPr="00E425C1">
        <w:rPr>
          <w:b/>
          <w:sz w:val="22"/>
          <w:szCs w:val="22"/>
          <w:highlight w:val="lightGray"/>
          <w:lang w:val="ro-MD"/>
        </w:rPr>
        <w:t xml:space="preserve"> </w:t>
      </w:r>
      <w:bookmarkStart w:id="12" w:name="_Toc76894420"/>
      <w:r w:rsidR="004025F7" w:rsidRPr="00E425C1">
        <w:rPr>
          <w:b/>
          <w:sz w:val="22"/>
          <w:szCs w:val="22"/>
          <w:lang w:val="ro-MD"/>
        </w:rPr>
        <w:t>Articolul 9</w:t>
      </w:r>
      <w:r w:rsidR="004025F7" w:rsidRPr="00E425C1">
        <w:rPr>
          <w:b/>
          <w:sz w:val="22"/>
          <w:szCs w:val="22"/>
          <w:lang w:val="ro-MD"/>
        </w:rPr>
        <w:tab/>
        <w:t>Acces la site</w:t>
      </w:r>
      <w:bookmarkEnd w:id="12"/>
    </w:p>
    <w:p w:rsidR="004025F7" w:rsidRPr="00E425C1" w:rsidRDefault="004025F7" w:rsidP="004025F7">
      <w:pPr>
        <w:spacing w:before="120" w:after="120"/>
        <w:ind w:left="1134" w:hanging="567"/>
        <w:jc w:val="both"/>
        <w:rPr>
          <w:sz w:val="22"/>
          <w:szCs w:val="22"/>
          <w:lang w:val="ro-MD"/>
        </w:rPr>
      </w:pPr>
      <w:r w:rsidRPr="00E425C1">
        <w:rPr>
          <w:bCs/>
          <w:sz w:val="22"/>
          <w:szCs w:val="22"/>
          <w:lang w:val="ro-MD"/>
        </w:rPr>
        <w:t>9.1</w:t>
      </w:r>
      <w:r w:rsidRPr="00E425C1">
        <w:rPr>
          <w:sz w:val="22"/>
          <w:szCs w:val="22"/>
          <w:lang w:val="ro-MD"/>
        </w:rPr>
        <w:tab/>
        <w:t>Contractorului i se reamintește că în stat</w:t>
      </w:r>
      <w:r w:rsidR="00DF4B70" w:rsidRPr="00E425C1">
        <w:rPr>
          <w:sz w:val="22"/>
          <w:szCs w:val="22"/>
          <w:lang w:val="ro-MD"/>
        </w:rPr>
        <w:t>ele</w:t>
      </w:r>
      <w:r w:rsidRPr="00E425C1">
        <w:rPr>
          <w:sz w:val="22"/>
          <w:szCs w:val="22"/>
          <w:lang w:val="ro-MD"/>
        </w:rPr>
        <w:t xml:space="preserve"> Autorității Contractante există un șef de delegație al Comisiei Europene. Antreprenorul este obligat să acorde șefului de delegație acces gratuit la șantierele sale, fabricile, atelierele, etc. și, în general, să asiste șefului de delegație, ca și supervizorul de proiect, în îndeplinirea atribuțiilor sale. Aceleași prevederi se aplică și reprezentanților desemnați ai șefului delegației.</w:t>
      </w:r>
    </w:p>
    <w:p w:rsidR="004025F7" w:rsidRPr="00E425C1" w:rsidRDefault="004025F7" w:rsidP="004025F7">
      <w:pPr>
        <w:spacing w:after="240"/>
        <w:ind w:left="1134"/>
        <w:jc w:val="both"/>
        <w:rPr>
          <w:sz w:val="22"/>
          <w:szCs w:val="22"/>
          <w:lang w:val="ro-MD"/>
        </w:rPr>
      </w:pPr>
      <w:r w:rsidRPr="00E425C1">
        <w:rPr>
          <w:sz w:val="22"/>
          <w:szCs w:val="22"/>
          <w:lang w:val="ro-MD"/>
        </w:rPr>
        <w:t>Toată corespondența dintre Contractor și Autoritatea Contractantă sau Supraveghetorul de proiect trebuie să fie copiată, pentru informare, către Șeful Delegației Comisiei Europene la următoarea adresă oficială:</w:t>
      </w:r>
    </w:p>
    <w:p w:rsidR="004025F7" w:rsidRPr="00E425C1" w:rsidRDefault="004025F7" w:rsidP="004025F7">
      <w:pPr>
        <w:spacing w:after="120"/>
        <w:ind w:left="1134" w:firstLine="28"/>
        <w:jc w:val="both"/>
        <w:rPr>
          <w:bCs/>
          <w:sz w:val="22"/>
          <w:szCs w:val="22"/>
          <w:lang w:val="ro-MD"/>
        </w:rPr>
      </w:pPr>
      <w:r w:rsidRPr="00E425C1">
        <w:rPr>
          <w:sz w:val="22"/>
          <w:szCs w:val="22"/>
          <w:lang w:val="ro-MD"/>
        </w:rPr>
        <w:t>&lt;</w:t>
      </w:r>
      <w:r w:rsidRPr="00E425C1">
        <w:rPr>
          <w:sz w:val="22"/>
          <w:szCs w:val="22"/>
          <w:highlight w:val="yellow"/>
          <w:lang w:val="ro-MD"/>
        </w:rPr>
        <w:t>Introdu adresa oficială</w:t>
      </w:r>
      <w:r w:rsidRPr="00E425C1">
        <w:rPr>
          <w:sz w:val="22"/>
          <w:szCs w:val="22"/>
          <w:lang w:val="ro-MD"/>
        </w:rPr>
        <w:t>.&gt;</w:t>
      </w:r>
    </w:p>
    <w:p w:rsidR="004025F7" w:rsidRPr="00E425C1" w:rsidRDefault="004025F7" w:rsidP="004025F7">
      <w:pPr>
        <w:tabs>
          <w:tab w:val="left" w:pos="1134"/>
        </w:tabs>
        <w:spacing w:before="240" w:after="120"/>
        <w:jc w:val="both"/>
        <w:rPr>
          <w:b/>
          <w:bCs/>
          <w:sz w:val="22"/>
          <w:szCs w:val="22"/>
          <w:lang w:val="ro-MD"/>
        </w:rPr>
      </w:pPr>
      <w:r w:rsidRPr="00E425C1">
        <w:rPr>
          <w:b/>
          <w:bCs/>
          <w:sz w:val="22"/>
          <w:szCs w:val="22"/>
          <w:lang w:val="ro-MD"/>
        </w:rPr>
        <w:t>Articolul 12</w:t>
      </w:r>
      <w:r w:rsidRPr="00E425C1">
        <w:rPr>
          <w:b/>
          <w:bCs/>
          <w:sz w:val="22"/>
          <w:szCs w:val="22"/>
          <w:lang w:val="ro-MD"/>
        </w:rPr>
        <w:tab/>
      </w:r>
      <w:r w:rsidR="00DF4B70" w:rsidRPr="00E425C1">
        <w:rPr>
          <w:b/>
          <w:bCs/>
          <w:sz w:val="22"/>
          <w:szCs w:val="22"/>
          <w:lang w:val="ro-MD"/>
        </w:rPr>
        <w:t xml:space="preserve"> </w:t>
      </w:r>
      <w:r w:rsidRPr="00E425C1">
        <w:rPr>
          <w:b/>
          <w:bCs/>
          <w:sz w:val="22"/>
          <w:szCs w:val="22"/>
          <w:lang w:val="ro-MD"/>
        </w:rPr>
        <w:t>Obligatii generale</w:t>
      </w:r>
    </w:p>
    <w:p w:rsidR="00537B8C" w:rsidRPr="00E425C1" w:rsidRDefault="004025F7" w:rsidP="00537B8C">
      <w:pPr>
        <w:pStyle w:val="HTML"/>
        <w:shd w:val="clear" w:color="auto" w:fill="F8F9FA"/>
        <w:tabs>
          <w:tab w:val="clear" w:pos="916"/>
          <w:tab w:val="left" w:pos="1134"/>
        </w:tabs>
        <w:ind w:left="1134" w:hanging="567"/>
        <w:jc w:val="both"/>
        <w:rPr>
          <w:rFonts w:ascii="Times New Roman" w:hAnsi="Times New Roman" w:cs="Times New Roman"/>
          <w:sz w:val="22"/>
          <w:szCs w:val="22"/>
          <w:lang w:val="ro-MD" w:eastAsia="zh-CN"/>
        </w:rPr>
      </w:pPr>
      <w:r w:rsidRPr="00E425C1">
        <w:rPr>
          <w:bCs/>
          <w:sz w:val="22"/>
          <w:szCs w:val="22"/>
          <w:lang w:val="ro-MD"/>
        </w:rPr>
        <w:t>12.9</w:t>
      </w:r>
      <w:r w:rsidRPr="00E425C1">
        <w:rPr>
          <w:bCs/>
          <w:sz w:val="22"/>
          <w:szCs w:val="22"/>
          <w:lang w:val="ro-MD"/>
        </w:rPr>
        <w:tab/>
      </w:r>
      <w:r w:rsidR="00537B8C" w:rsidRPr="00E425C1">
        <w:rPr>
          <w:rFonts w:ascii="Times New Roman" w:hAnsi="Times New Roman" w:cs="Times New Roman"/>
          <w:sz w:val="22"/>
          <w:szCs w:val="22"/>
          <w:lang w:val="ro-MD" w:eastAsia="zh-CN"/>
        </w:rPr>
        <w:t xml:space="preserve">În ceea ce privește vizibilitatea, Contractorul trebuie să respecte regulile stabilite în manualul de comunicare și vizibilitate pentru acțiunile externe ale UE publicat de Comisia Europeană: </w:t>
      </w:r>
      <w:r w:rsidR="00537B8C" w:rsidRPr="00E425C1">
        <w:rPr>
          <w:rStyle w:val="A30"/>
          <w:rFonts w:ascii="Times New Roman" w:hAnsi="Times New Roman" w:cs="Times New Roman"/>
          <w:lang w:val="ro-MD"/>
        </w:rPr>
        <w:t>https://ec.europa.eu/europeaid/sites/devco/files/communication_and_visibility_manual_en_0.pd</w:t>
      </w:r>
      <w:r w:rsidR="00537B8C" w:rsidRPr="00E425C1">
        <w:rPr>
          <w:rStyle w:val="A30"/>
          <w:lang w:val="ro-MD"/>
        </w:rPr>
        <w:t>f</w:t>
      </w:r>
    </w:p>
    <w:p w:rsidR="004025F7" w:rsidRPr="00E425C1" w:rsidRDefault="004025F7" w:rsidP="004025F7">
      <w:pPr>
        <w:spacing w:after="120"/>
        <w:ind w:left="1276" w:hanging="556"/>
        <w:jc w:val="both"/>
        <w:rPr>
          <w:b/>
          <w:bCs/>
          <w:sz w:val="22"/>
          <w:szCs w:val="22"/>
          <w:lang w:val="ro-MD"/>
        </w:rPr>
      </w:pPr>
    </w:p>
    <w:p w:rsidR="004025F7" w:rsidRPr="00E425C1" w:rsidRDefault="004025F7" w:rsidP="004025F7">
      <w:pPr>
        <w:spacing w:before="240"/>
        <w:ind w:left="1276" w:hanging="1276"/>
        <w:jc w:val="both"/>
        <w:rPr>
          <w:b/>
          <w:szCs w:val="24"/>
          <w:lang w:val="ro-MD"/>
        </w:rPr>
      </w:pPr>
      <w:bookmarkStart w:id="13" w:name="_Toc76894421"/>
      <w:r w:rsidRPr="00E425C1">
        <w:rPr>
          <w:b/>
          <w:szCs w:val="24"/>
          <w:lang w:val="ro-MD"/>
        </w:rPr>
        <w:t>Articolul 15</w:t>
      </w:r>
      <w:r w:rsidRPr="00E425C1">
        <w:rPr>
          <w:b/>
          <w:szCs w:val="24"/>
          <w:lang w:val="ro-MD"/>
        </w:rPr>
        <w:tab/>
      </w:r>
      <w:r w:rsidR="00DF4B70" w:rsidRPr="00E425C1">
        <w:rPr>
          <w:b/>
          <w:szCs w:val="24"/>
          <w:lang w:val="ro-MD"/>
        </w:rPr>
        <w:t>Garanția de execuție</w:t>
      </w:r>
      <w:bookmarkEnd w:id="13"/>
    </w:p>
    <w:p w:rsidR="00537B8C" w:rsidRPr="00E425C1" w:rsidRDefault="004025F7" w:rsidP="00537B8C">
      <w:pPr>
        <w:spacing w:before="120" w:after="120"/>
        <w:ind w:left="1134" w:hanging="567"/>
        <w:jc w:val="both"/>
        <w:rPr>
          <w:sz w:val="22"/>
          <w:szCs w:val="22"/>
          <w:lang w:val="ro-MD"/>
        </w:rPr>
      </w:pPr>
      <w:r w:rsidRPr="00E425C1">
        <w:rPr>
          <w:bCs/>
          <w:sz w:val="22"/>
          <w:szCs w:val="22"/>
          <w:lang w:val="ro-MD"/>
        </w:rPr>
        <w:t>15.1</w:t>
      </w:r>
      <w:r w:rsidRPr="00E425C1">
        <w:rPr>
          <w:sz w:val="22"/>
          <w:szCs w:val="22"/>
          <w:lang w:val="ro-MD"/>
        </w:rPr>
        <w:tab/>
      </w:r>
      <w:bookmarkStart w:id="14" w:name="_Toc76894422"/>
      <w:r w:rsidR="00537B8C" w:rsidRPr="00E425C1">
        <w:rPr>
          <w:sz w:val="22"/>
          <w:szCs w:val="22"/>
          <w:lang w:val="ro-MD"/>
        </w:rPr>
        <w:t xml:space="preserve">Valoarea garanției de bună execuție va fi </w:t>
      </w:r>
      <w:r w:rsidR="00422FF8">
        <w:rPr>
          <w:b/>
          <w:color w:val="000000" w:themeColor="text1"/>
          <w:sz w:val="22"/>
          <w:szCs w:val="22"/>
          <w:highlight w:val="yellow"/>
          <w:lang w:val="ro-MD"/>
        </w:rPr>
        <w:t>6</w:t>
      </w:r>
      <w:r w:rsidR="00537B8C" w:rsidRPr="00E425C1">
        <w:rPr>
          <w:b/>
          <w:color w:val="000000" w:themeColor="text1"/>
          <w:sz w:val="22"/>
          <w:szCs w:val="22"/>
          <w:highlight w:val="yellow"/>
          <w:lang w:val="ro-MD"/>
        </w:rPr>
        <w:t>%</w:t>
      </w:r>
      <w:r w:rsidR="00537B8C" w:rsidRPr="00E425C1">
        <w:rPr>
          <w:sz w:val="22"/>
          <w:szCs w:val="22"/>
          <w:lang w:val="ro-MD"/>
        </w:rPr>
        <w:t xml:space="preserve"> a sumei Contractului și a oricăror anexe la acesta. </w:t>
      </w:r>
    </w:p>
    <w:p w:rsidR="004025F7" w:rsidRPr="00E425C1" w:rsidRDefault="004025F7" w:rsidP="00537B8C">
      <w:pPr>
        <w:spacing w:before="120" w:after="120"/>
        <w:ind w:left="1276" w:hanging="709"/>
        <w:jc w:val="both"/>
        <w:rPr>
          <w:b/>
          <w:szCs w:val="24"/>
          <w:lang w:val="ro-MD"/>
        </w:rPr>
      </w:pPr>
      <w:r w:rsidRPr="00E425C1">
        <w:rPr>
          <w:b/>
          <w:szCs w:val="24"/>
          <w:lang w:val="ro-MD"/>
        </w:rPr>
        <w:t>Articolul 16</w:t>
      </w:r>
      <w:r w:rsidRPr="00E425C1">
        <w:rPr>
          <w:b/>
          <w:szCs w:val="24"/>
          <w:lang w:val="ro-MD"/>
        </w:rPr>
        <w:tab/>
      </w:r>
      <w:r w:rsidRPr="00E425C1">
        <w:rPr>
          <w:b/>
          <w:lang w:val="ro-MD"/>
        </w:rPr>
        <w:t>Datorii și asigurări</w:t>
      </w:r>
      <w:bookmarkEnd w:id="14"/>
    </w:p>
    <w:p w:rsidR="004025F7" w:rsidRPr="00E425C1" w:rsidRDefault="004025F7" w:rsidP="004025F7">
      <w:pPr>
        <w:tabs>
          <w:tab w:val="left" w:pos="1276"/>
        </w:tabs>
        <w:spacing w:before="240" w:after="120"/>
        <w:ind w:left="1276" w:hanging="992"/>
        <w:jc w:val="both"/>
        <w:rPr>
          <w:sz w:val="22"/>
          <w:szCs w:val="22"/>
          <w:lang w:val="ro-MD"/>
        </w:rPr>
      </w:pPr>
      <w:r w:rsidRPr="00E425C1">
        <w:rPr>
          <w:sz w:val="22"/>
          <w:szCs w:val="22"/>
          <w:lang w:val="ro-MD"/>
        </w:rPr>
        <w:lastRenderedPageBreak/>
        <w:t>16.1 a)</w:t>
      </w:r>
      <w:r w:rsidRPr="00E425C1">
        <w:rPr>
          <w:sz w:val="22"/>
          <w:szCs w:val="22"/>
          <w:lang w:val="ro-MD"/>
        </w:rPr>
        <w:tab/>
        <w:t xml:space="preserve">Prin derogare de la articolul 16.1, a) paragraful 2, din condițiile generale, despăgubirile pentru daunele aduse lucrărilor rezultate din răspunderea Antreprenorului față de Autoritatea Contractantă este plafonată la o sumă egală cu valoarea contractului. </w:t>
      </w:r>
    </w:p>
    <w:p w:rsidR="004025F7" w:rsidRPr="00E425C1" w:rsidRDefault="004025F7" w:rsidP="004025F7">
      <w:pPr>
        <w:tabs>
          <w:tab w:val="left" w:pos="1276"/>
        </w:tabs>
        <w:spacing w:before="240" w:after="120"/>
        <w:ind w:left="1276" w:hanging="992"/>
        <w:jc w:val="both"/>
        <w:rPr>
          <w:sz w:val="22"/>
          <w:szCs w:val="22"/>
          <w:lang w:val="ro-MD"/>
        </w:rPr>
      </w:pPr>
      <w:r w:rsidRPr="00E425C1">
        <w:rPr>
          <w:sz w:val="22"/>
          <w:szCs w:val="22"/>
          <w:lang w:val="ro-MD"/>
        </w:rPr>
        <w:t>16.1 b)</w:t>
      </w:r>
      <w:r w:rsidRPr="00E425C1">
        <w:rPr>
          <w:sz w:val="22"/>
          <w:szCs w:val="22"/>
          <w:lang w:val="ro-MD"/>
        </w:rPr>
        <w:tab/>
        <w:t>Prin derogare de la articolul 16.1, b), paragraful 2, din condițiile generale, despăgubirea pentru prejudiciul rezultat din răspunderea Antreprenorului față de Autoritatea Contractantă este plafonată la o sumă egală cu valoarea contractului.</w:t>
      </w:r>
    </w:p>
    <w:p w:rsidR="004025F7" w:rsidRPr="00E425C1" w:rsidRDefault="004025F7" w:rsidP="004025F7">
      <w:pPr>
        <w:spacing w:before="240"/>
        <w:ind w:left="1276" w:hanging="1276"/>
        <w:jc w:val="both"/>
        <w:rPr>
          <w:b/>
          <w:szCs w:val="24"/>
          <w:lang w:val="ro-MD"/>
        </w:rPr>
      </w:pPr>
      <w:bookmarkStart w:id="15" w:name="_Toc76894423"/>
      <w:r w:rsidRPr="00E425C1">
        <w:rPr>
          <w:b/>
          <w:szCs w:val="24"/>
          <w:lang w:val="ro-MD"/>
        </w:rPr>
        <w:t>Articolul 17</w:t>
      </w:r>
      <w:r w:rsidRPr="00E425C1">
        <w:rPr>
          <w:b/>
          <w:szCs w:val="24"/>
          <w:lang w:val="ro-MD"/>
        </w:rPr>
        <w:tab/>
        <w:t>Program</w:t>
      </w:r>
      <w:bookmarkEnd w:id="15"/>
      <w:r w:rsidRPr="00E425C1">
        <w:rPr>
          <w:b/>
          <w:szCs w:val="24"/>
          <w:lang w:val="ro-MD"/>
        </w:rPr>
        <w:t xml:space="preserve"> de implementare a sarcinilor</w:t>
      </w:r>
    </w:p>
    <w:p w:rsidR="004025F7" w:rsidRPr="00E425C1" w:rsidRDefault="004025F7" w:rsidP="004025F7">
      <w:pPr>
        <w:tabs>
          <w:tab w:val="left" w:pos="1276"/>
        </w:tabs>
        <w:spacing w:before="240" w:after="120"/>
        <w:ind w:left="1276" w:hanging="992"/>
        <w:jc w:val="both"/>
        <w:rPr>
          <w:sz w:val="22"/>
          <w:szCs w:val="22"/>
          <w:lang w:val="ro-MD"/>
        </w:rPr>
      </w:pPr>
      <w:r w:rsidRPr="00E425C1">
        <w:rPr>
          <w:sz w:val="22"/>
          <w:szCs w:val="22"/>
          <w:lang w:val="ro-MD"/>
        </w:rPr>
        <w:t>17.1</w:t>
      </w:r>
      <w:r w:rsidRPr="00E425C1">
        <w:rPr>
          <w:sz w:val="22"/>
          <w:szCs w:val="22"/>
          <w:lang w:val="ro-MD"/>
        </w:rPr>
        <w:tab/>
        <w:t>Antreprenorul va furniza Supraveghetorului un program simplificat de implementare a sarcinilor. Acest program va cuprinde cel puțin ordinea și termenele în care Antreprenorul își propune să execute lucrările și se va baza pe tranșele prevăzute la art. 49.1 din condițiile speciale.</w:t>
      </w:r>
    </w:p>
    <w:p w:rsidR="004025F7" w:rsidRPr="00E425C1" w:rsidRDefault="004025F7" w:rsidP="004025F7">
      <w:pPr>
        <w:tabs>
          <w:tab w:val="left" w:pos="1276"/>
        </w:tabs>
        <w:spacing w:before="240" w:after="120"/>
        <w:ind w:left="1276" w:hanging="992"/>
        <w:jc w:val="both"/>
        <w:rPr>
          <w:sz w:val="22"/>
          <w:szCs w:val="22"/>
          <w:lang w:val="ro-MD"/>
        </w:rPr>
      </w:pPr>
      <w:r w:rsidRPr="00E425C1">
        <w:rPr>
          <w:sz w:val="22"/>
          <w:szCs w:val="22"/>
          <w:lang w:val="ro-MD"/>
        </w:rPr>
        <w:t xml:space="preserve">17.2. </w:t>
      </w:r>
      <w:r w:rsidRPr="00E425C1">
        <w:rPr>
          <w:sz w:val="22"/>
          <w:szCs w:val="22"/>
          <w:lang w:val="ro-MD"/>
        </w:rPr>
        <w:tab/>
        <w:t>Supraveghetorul va returna acest document Antreprenorului cu orice observații relevante în termen de 10 zile de la primire, cu excepția cazului în care Supraveghetorul, în acele 10 zile, notifică Antreprenorul despre dorința sa de a avea o întâlnire pentru a discuta documentele prezentate.</w:t>
      </w:r>
    </w:p>
    <w:p w:rsidR="004025F7" w:rsidRPr="00E425C1" w:rsidRDefault="004025F7" w:rsidP="004025F7">
      <w:pPr>
        <w:spacing w:before="240"/>
        <w:ind w:left="1276" w:hanging="1276"/>
        <w:jc w:val="both"/>
        <w:rPr>
          <w:b/>
          <w:szCs w:val="24"/>
          <w:lang w:val="ro-MD"/>
        </w:rPr>
      </w:pPr>
      <w:r w:rsidRPr="00E425C1">
        <w:rPr>
          <w:b/>
          <w:szCs w:val="24"/>
          <w:lang w:val="ro-MD"/>
        </w:rPr>
        <w:t>Articolul 21</w:t>
      </w:r>
      <w:r w:rsidRPr="00E425C1">
        <w:rPr>
          <w:b/>
          <w:szCs w:val="24"/>
          <w:lang w:val="ro-MD"/>
        </w:rPr>
        <w:tab/>
        <w:t>Riscuri excepționale</w:t>
      </w:r>
    </w:p>
    <w:p w:rsidR="00537B8C" w:rsidRPr="00E425C1" w:rsidRDefault="004025F7" w:rsidP="00537B8C">
      <w:pPr>
        <w:spacing w:before="120" w:after="120"/>
        <w:ind w:left="1276" w:hanging="709"/>
        <w:jc w:val="both"/>
        <w:rPr>
          <w:sz w:val="22"/>
          <w:szCs w:val="22"/>
          <w:lang w:val="ro-MD" w:eastAsia="zh-CN"/>
        </w:rPr>
      </w:pPr>
      <w:r w:rsidRPr="00E425C1">
        <w:rPr>
          <w:sz w:val="22"/>
          <w:szCs w:val="22"/>
          <w:lang w:val="ro-MD"/>
        </w:rPr>
        <w:t>21.4</w:t>
      </w:r>
      <w:r w:rsidRPr="00E425C1">
        <w:rPr>
          <w:sz w:val="22"/>
          <w:szCs w:val="22"/>
          <w:lang w:val="ro-MD"/>
        </w:rPr>
        <w:tab/>
      </w:r>
      <w:bookmarkStart w:id="16" w:name="_Toc76894431"/>
      <w:r w:rsidR="00537B8C" w:rsidRPr="00E425C1">
        <w:rPr>
          <w:sz w:val="22"/>
          <w:szCs w:val="22"/>
          <w:lang w:val="ro-MD" w:eastAsia="zh-CN"/>
        </w:rPr>
        <w:t>Condițiile meteorologice excepționale pot provoca întârzieri în implementarea sarcinilor.</w:t>
      </w:r>
    </w:p>
    <w:p w:rsidR="004025F7" w:rsidRPr="00E425C1" w:rsidRDefault="004025F7" w:rsidP="00537B8C">
      <w:pPr>
        <w:spacing w:before="120" w:after="120"/>
        <w:jc w:val="both"/>
        <w:rPr>
          <w:b/>
          <w:szCs w:val="24"/>
          <w:lang w:val="ro-MD"/>
        </w:rPr>
      </w:pPr>
      <w:r w:rsidRPr="00E425C1">
        <w:rPr>
          <w:b/>
          <w:szCs w:val="24"/>
          <w:lang w:val="ro-MD"/>
        </w:rPr>
        <w:t>Articolul 34</w:t>
      </w:r>
      <w:r w:rsidRPr="00E425C1">
        <w:rPr>
          <w:b/>
          <w:szCs w:val="24"/>
          <w:lang w:val="ro-MD"/>
        </w:rPr>
        <w:tab/>
        <w:t>Perioada de implementare a sarcinilor</w:t>
      </w:r>
      <w:bookmarkEnd w:id="16"/>
    </w:p>
    <w:p w:rsidR="004025F7" w:rsidRPr="00E425C1" w:rsidRDefault="004025F7" w:rsidP="004025F7">
      <w:pPr>
        <w:pStyle w:val="aa"/>
        <w:ind w:left="1276" w:hanging="709"/>
        <w:jc w:val="both"/>
        <w:rPr>
          <w:rFonts w:ascii="Times New Roman" w:hAnsi="Times New Roman"/>
          <w:b w:val="0"/>
          <w:smallCaps/>
          <w:sz w:val="22"/>
          <w:szCs w:val="22"/>
          <w:lang w:val="ro-MD"/>
        </w:rPr>
      </w:pPr>
      <w:r w:rsidRPr="00E425C1">
        <w:rPr>
          <w:rFonts w:ascii="Times New Roman" w:hAnsi="Times New Roman"/>
          <w:b w:val="0"/>
          <w:sz w:val="22"/>
          <w:szCs w:val="22"/>
          <w:lang w:val="ro-MD"/>
        </w:rPr>
        <w:t>34.1</w:t>
      </w:r>
      <w:r w:rsidRPr="00E425C1">
        <w:rPr>
          <w:rFonts w:ascii="Times New Roman" w:hAnsi="Times New Roman"/>
          <w:b w:val="0"/>
          <w:bCs/>
          <w:sz w:val="22"/>
          <w:szCs w:val="22"/>
          <w:lang w:val="ro-MD"/>
        </w:rPr>
        <w:tab/>
      </w:r>
      <w:r w:rsidR="00537B8C" w:rsidRPr="00E425C1">
        <w:rPr>
          <w:rFonts w:ascii="Times New Roman" w:hAnsi="Times New Roman"/>
          <w:b w:val="0"/>
          <w:bCs/>
          <w:sz w:val="22"/>
          <w:szCs w:val="22"/>
          <w:highlight w:val="yellow"/>
          <w:lang w:val="ro-MD"/>
        </w:rPr>
        <w:t>P</w:t>
      </w:r>
      <w:r w:rsidRPr="00E425C1">
        <w:rPr>
          <w:rFonts w:ascii="Times New Roman" w:hAnsi="Times New Roman"/>
          <w:b w:val="0"/>
          <w:bCs/>
          <w:sz w:val="22"/>
          <w:szCs w:val="22"/>
          <w:highlight w:val="yellow"/>
          <w:lang w:val="ro-MD"/>
        </w:rPr>
        <w:t xml:space="preserve">erioada de implementare a sarcinilor: </w:t>
      </w:r>
      <w:r w:rsidR="00537B8C" w:rsidRPr="00E425C1">
        <w:rPr>
          <w:rFonts w:ascii="Times New Roman" w:hAnsi="Times New Roman"/>
          <w:b w:val="0"/>
          <w:bCs/>
          <w:sz w:val="22"/>
          <w:szCs w:val="22"/>
          <w:lang w:val="ro-MD"/>
        </w:rPr>
        <w:t>12 luni (douăsprezece luni).</w:t>
      </w:r>
    </w:p>
    <w:p w:rsidR="004025F7" w:rsidRPr="00E425C1" w:rsidRDefault="004025F7" w:rsidP="004025F7">
      <w:pPr>
        <w:spacing w:before="240"/>
        <w:ind w:left="1276" w:hanging="1276"/>
        <w:jc w:val="both"/>
        <w:rPr>
          <w:b/>
          <w:szCs w:val="24"/>
          <w:lang w:val="ro-MD"/>
        </w:rPr>
      </w:pPr>
      <w:bookmarkStart w:id="17" w:name="_Toc76894432"/>
      <w:r w:rsidRPr="00E425C1">
        <w:rPr>
          <w:b/>
          <w:szCs w:val="24"/>
          <w:lang w:val="ro-MD"/>
        </w:rPr>
        <w:t>Articolul 36</w:t>
      </w:r>
      <w:r w:rsidRPr="00E425C1">
        <w:rPr>
          <w:b/>
          <w:szCs w:val="24"/>
          <w:lang w:val="ro-MD"/>
        </w:rPr>
        <w:tab/>
        <w:t>Întârzieri în implementarea sarcinilor</w:t>
      </w:r>
      <w:bookmarkEnd w:id="17"/>
    </w:p>
    <w:p w:rsidR="004025F7" w:rsidRPr="00E425C1" w:rsidRDefault="004025F7" w:rsidP="004025F7">
      <w:pPr>
        <w:spacing w:before="120" w:after="120"/>
        <w:ind w:left="1276" w:hanging="709"/>
        <w:jc w:val="both"/>
        <w:rPr>
          <w:sz w:val="22"/>
          <w:szCs w:val="22"/>
          <w:lang w:val="ro-MD"/>
        </w:rPr>
      </w:pPr>
      <w:r w:rsidRPr="00E425C1">
        <w:rPr>
          <w:bCs/>
          <w:sz w:val="22"/>
          <w:szCs w:val="22"/>
          <w:lang w:val="ro-MD"/>
        </w:rPr>
        <w:t>36.1</w:t>
      </w:r>
      <w:r w:rsidRPr="00E425C1">
        <w:rPr>
          <w:bCs/>
          <w:sz w:val="22"/>
          <w:szCs w:val="22"/>
          <w:lang w:val="ro-MD"/>
        </w:rPr>
        <w:tab/>
      </w:r>
      <w:r w:rsidRPr="00E425C1">
        <w:rPr>
          <w:sz w:val="22"/>
          <w:szCs w:val="22"/>
          <w:lang w:val="ro-MD"/>
        </w:rPr>
        <w:t>Rata despăgubirilor lichidate pentru întârzierile la finalizarea lucrărilor va fi de 0,1% din prețul contractului pentru fiecare zi sau parte din aceasta care se scurge între sfârșitul perioadei de executare a sarcinilor și data efectivă de finalizare, până la o sumă maximă. de 10 % din prețul contractului sau, în cazul în care contractul este subdivizat pe etape, 10 % din prețul fazei în cauză.</w:t>
      </w:r>
    </w:p>
    <w:p w:rsidR="004025F7" w:rsidRPr="00E425C1" w:rsidRDefault="004025F7" w:rsidP="004025F7">
      <w:pPr>
        <w:spacing w:before="240"/>
        <w:ind w:left="1276" w:hanging="1276"/>
        <w:jc w:val="both"/>
        <w:rPr>
          <w:b/>
          <w:szCs w:val="24"/>
          <w:lang w:val="ro-MD"/>
        </w:rPr>
      </w:pPr>
      <w:bookmarkStart w:id="18" w:name="_Toc76894434"/>
      <w:r w:rsidRPr="00E425C1">
        <w:rPr>
          <w:b/>
          <w:szCs w:val="24"/>
          <w:lang w:val="ro-MD"/>
        </w:rPr>
        <w:t>Articolul 39</w:t>
      </w:r>
      <w:r w:rsidRPr="00E425C1">
        <w:rPr>
          <w:b/>
          <w:szCs w:val="24"/>
          <w:lang w:val="ro-MD"/>
        </w:rPr>
        <w:tab/>
        <w:t>Registrul muncii</w:t>
      </w:r>
      <w:bookmarkEnd w:id="18"/>
    </w:p>
    <w:p w:rsidR="00537B8C" w:rsidRPr="00E425C1" w:rsidRDefault="004025F7" w:rsidP="00537B8C">
      <w:pPr>
        <w:spacing w:before="120" w:after="120"/>
        <w:ind w:left="1276" w:hanging="709"/>
        <w:jc w:val="both"/>
        <w:rPr>
          <w:sz w:val="22"/>
          <w:szCs w:val="22"/>
          <w:lang w:val="ro-MD"/>
        </w:rPr>
      </w:pPr>
      <w:r w:rsidRPr="00E425C1">
        <w:rPr>
          <w:bCs/>
          <w:sz w:val="22"/>
          <w:szCs w:val="22"/>
          <w:lang w:val="ro-MD"/>
        </w:rPr>
        <w:t>39.1</w:t>
      </w:r>
      <w:r w:rsidRPr="00E425C1">
        <w:rPr>
          <w:bCs/>
          <w:sz w:val="22"/>
          <w:szCs w:val="22"/>
          <w:lang w:val="ro-MD"/>
        </w:rPr>
        <w:tab/>
      </w:r>
      <w:r w:rsidR="00537B8C" w:rsidRPr="00E425C1">
        <w:rPr>
          <w:sz w:val="22"/>
          <w:szCs w:val="22"/>
          <w:lang w:val="ro-MD"/>
        </w:rPr>
        <w:t xml:space="preserve">Nu este necesar un registru de muncă. </w:t>
      </w:r>
    </w:p>
    <w:p w:rsidR="004025F7" w:rsidRPr="00E425C1" w:rsidRDefault="004025F7" w:rsidP="004025F7">
      <w:pPr>
        <w:spacing w:before="240"/>
        <w:ind w:left="1276" w:hanging="1276"/>
        <w:jc w:val="both"/>
        <w:rPr>
          <w:b/>
          <w:szCs w:val="24"/>
          <w:lang w:val="ro-MD"/>
        </w:rPr>
      </w:pPr>
      <w:bookmarkStart w:id="19" w:name="_Toc76894435"/>
      <w:r w:rsidRPr="00E425C1">
        <w:rPr>
          <w:b/>
          <w:szCs w:val="24"/>
          <w:lang w:val="ro-MD"/>
        </w:rPr>
        <w:t>Articolul 40</w:t>
      </w:r>
      <w:r w:rsidRPr="00E425C1">
        <w:rPr>
          <w:b/>
          <w:szCs w:val="24"/>
          <w:lang w:val="ro-MD"/>
        </w:rPr>
        <w:tab/>
        <w:t>Originea și calitatea lucrărilor și materialelor</w:t>
      </w:r>
      <w:bookmarkEnd w:id="19"/>
    </w:p>
    <w:p w:rsidR="004025F7" w:rsidRPr="00E425C1" w:rsidRDefault="004025F7" w:rsidP="004025F7">
      <w:pPr>
        <w:pStyle w:val="2"/>
        <w:keepNext w:val="0"/>
        <w:numPr>
          <w:ilvl w:val="1"/>
          <w:numId w:val="0"/>
        </w:numPr>
        <w:spacing w:before="120" w:after="120"/>
        <w:ind w:left="1276" w:hanging="709"/>
        <w:rPr>
          <w:rFonts w:ascii="Times New Roman" w:hAnsi="Times New Roman"/>
          <w:b w:val="0"/>
          <w:sz w:val="22"/>
          <w:szCs w:val="22"/>
          <w:lang w:val="ro-MD"/>
        </w:rPr>
      </w:pPr>
      <w:r w:rsidRPr="00E425C1">
        <w:rPr>
          <w:rFonts w:ascii="Times New Roman" w:hAnsi="Times New Roman"/>
          <w:b w:val="0"/>
          <w:bCs/>
          <w:sz w:val="22"/>
          <w:szCs w:val="22"/>
          <w:lang w:val="ro-MD"/>
        </w:rPr>
        <w:t>40.1</w:t>
      </w:r>
      <w:r w:rsidRPr="00E425C1">
        <w:rPr>
          <w:rFonts w:ascii="Times New Roman" w:hAnsi="Times New Roman"/>
          <w:b w:val="0"/>
          <w:bCs/>
          <w:sz w:val="22"/>
          <w:szCs w:val="22"/>
          <w:lang w:val="ro-MD"/>
        </w:rPr>
        <w:tab/>
      </w:r>
      <w:r w:rsidR="00537B8C" w:rsidRPr="00E425C1">
        <w:rPr>
          <w:rFonts w:ascii="Times New Roman" w:hAnsi="Times New Roman"/>
          <w:b w:val="0"/>
          <w:sz w:val="22"/>
          <w:szCs w:val="22"/>
          <w:lang w:val="ro-MD" w:eastAsia="zh-CN"/>
        </w:rPr>
        <w:t xml:space="preserve">Toate bunurile achiziționate în temeiul Contractului trebuie să provină din orice țară sursă eligibilă, așa cum este definită în Programul operational Comun România – Republica Moldova 2014 - 2020. </w:t>
      </w:r>
      <w:r w:rsidRPr="00E425C1">
        <w:rPr>
          <w:rFonts w:ascii="Times New Roman" w:hAnsi="Times New Roman"/>
          <w:b w:val="0"/>
          <w:sz w:val="22"/>
          <w:szCs w:val="22"/>
          <w:lang w:val="ro-MD"/>
        </w:rPr>
        <w:t>Cu toate acestea, bunurile care urmează să fie achiziționate pot proveni din orice țară, ori de câte ori prețul total al cantității estimate a acestor bunuri, așa cum este reflectat într-un articol separat din Defalcarea prețului forfetar (Volumul 4.2.3) este sub 100.000 €. O categorie de bunuri similare care urmează să fie achiziționate nu va fi defalcată pe mai mult de 1 articol din Defalcarea prețului forfetar (Volumul 4.2.3)]</w:t>
      </w:r>
    </w:p>
    <w:p w:rsidR="004025F7" w:rsidRPr="00E425C1" w:rsidRDefault="004025F7" w:rsidP="004025F7">
      <w:pPr>
        <w:pStyle w:val="2"/>
        <w:keepNext w:val="0"/>
        <w:numPr>
          <w:ilvl w:val="1"/>
          <w:numId w:val="0"/>
        </w:numPr>
        <w:spacing w:before="120" w:after="120"/>
        <w:ind w:left="1276"/>
        <w:rPr>
          <w:rFonts w:ascii="Times New Roman" w:hAnsi="Times New Roman"/>
          <w:b w:val="0"/>
          <w:sz w:val="22"/>
          <w:szCs w:val="22"/>
          <w:lang w:val="ro-MD"/>
        </w:rPr>
      </w:pPr>
      <w:r w:rsidRPr="00E425C1">
        <w:rPr>
          <w:rFonts w:ascii="Times New Roman" w:hAnsi="Times New Roman"/>
          <w:b w:val="0"/>
          <w:sz w:val="22"/>
          <w:szCs w:val="22"/>
          <w:lang w:val="ro-MD"/>
        </w:rPr>
        <w:t>În aceste scopuri, „origine” înseamnă locul în care bunurile sunt extrase, cultivate, produse sau fabricate și/sau din care sunt furnizate serviciile. Originea mărfurilor trebuie determinată conform Codului Vamal al UE sau acordului internațional aplicabil.</w:t>
      </w:r>
    </w:p>
    <w:p w:rsidR="004025F7" w:rsidRPr="00E425C1" w:rsidRDefault="004025F7" w:rsidP="004025F7">
      <w:pPr>
        <w:spacing w:after="120"/>
        <w:ind w:left="1276"/>
        <w:jc w:val="both"/>
        <w:rPr>
          <w:sz w:val="22"/>
          <w:szCs w:val="22"/>
          <w:lang w:val="ro-MD"/>
        </w:rPr>
      </w:pPr>
      <w:r w:rsidRPr="00E425C1">
        <w:rPr>
          <w:sz w:val="22"/>
          <w:szCs w:val="22"/>
          <w:lang w:val="ro-MD"/>
        </w:rPr>
        <w:t>La importul de mărfuri, orice modificare a originii specificate trebuie semnalată Supervizorului de proiect și aprobată de acesta.</w:t>
      </w:r>
    </w:p>
    <w:p w:rsidR="004025F7" w:rsidRPr="00E425C1" w:rsidRDefault="004025F7" w:rsidP="004025F7">
      <w:pPr>
        <w:spacing w:before="120" w:after="120"/>
        <w:ind w:left="1276" w:hanging="709"/>
        <w:jc w:val="both"/>
        <w:rPr>
          <w:sz w:val="22"/>
          <w:szCs w:val="22"/>
          <w:lang w:val="ro-MD"/>
        </w:rPr>
      </w:pPr>
      <w:r w:rsidRPr="00E425C1">
        <w:rPr>
          <w:bCs/>
          <w:sz w:val="22"/>
          <w:szCs w:val="22"/>
          <w:lang w:val="ro-MD"/>
        </w:rPr>
        <w:t>40.2</w:t>
      </w:r>
      <w:r w:rsidRPr="00E425C1">
        <w:rPr>
          <w:bCs/>
          <w:sz w:val="22"/>
          <w:szCs w:val="22"/>
          <w:lang w:val="ro-MD"/>
        </w:rPr>
        <w:tab/>
      </w:r>
      <w:r w:rsidRPr="00E425C1">
        <w:rPr>
          <w:sz w:val="22"/>
          <w:szCs w:val="22"/>
          <w:lang w:val="ro-MD"/>
        </w:rPr>
        <w:t>Lucrările și obiectele, aparatele, echipamentele sau materialele folosite la construcția lor trebuie să respecte:</w:t>
      </w:r>
    </w:p>
    <w:p w:rsidR="00062BAA" w:rsidRPr="00E425C1" w:rsidRDefault="004025F7" w:rsidP="00062BAA">
      <w:pPr>
        <w:spacing w:before="120" w:after="120"/>
        <w:ind w:left="1276"/>
        <w:jc w:val="both"/>
        <w:rPr>
          <w:sz w:val="22"/>
          <w:szCs w:val="22"/>
          <w:lang w:val="ro-MD"/>
        </w:rPr>
      </w:pPr>
      <w:r w:rsidRPr="00E425C1">
        <w:rPr>
          <w:sz w:val="22"/>
          <w:szCs w:val="22"/>
          <w:lang w:val="ro-MD"/>
        </w:rPr>
        <w:t>(*)</w:t>
      </w:r>
      <w:r w:rsidRPr="00E425C1">
        <w:rPr>
          <w:sz w:val="22"/>
          <w:szCs w:val="22"/>
          <w:lang w:val="ro-MD"/>
        </w:rPr>
        <w:tab/>
      </w:r>
      <w:r w:rsidR="00062BAA" w:rsidRPr="00E425C1">
        <w:rPr>
          <w:sz w:val="22"/>
          <w:szCs w:val="22"/>
          <w:lang w:val="ro-MD"/>
        </w:rPr>
        <w:t xml:space="preserve">specificatii tehnice </w:t>
      </w:r>
    </w:p>
    <w:p w:rsidR="00062BAA" w:rsidRPr="00E425C1" w:rsidRDefault="00062BAA" w:rsidP="00062BAA">
      <w:pPr>
        <w:spacing w:before="120" w:after="120"/>
        <w:ind w:left="1276"/>
        <w:jc w:val="both"/>
        <w:rPr>
          <w:sz w:val="22"/>
          <w:szCs w:val="22"/>
          <w:lang w:val="ro-MD"/>
        </w:rPr>
      </w:pPr>
      <w:r w:rsidRPr="00E425C1">
        <w:rPr>
          <w:sz w:val="22"/>
          <w:szCs w:val="22"/>
          <w:lang w:val="ro-MD"/>
        </w:rPr>
        <w:lastRenderedPageBreak/>
        <w:t xml:space="preserve">• defalcarea prețului forfetar și </w:t>
      </w:r>
    </w:p>
    <w:p w:rsidR="00062BAA" w:rsidRPr="00E425C1" w:rsidRDefault="00062BAA" w:rsidP="00062BAA">
      <w:pPr>
        <w:spacing w:before="120" w:after="120"/>
        <w:ind w:left="1276"/>
        <w:jc w:val="both"/>
        <w:rPr>
          <w:sz w:val="22"/>
          <w:szCs w:val="22"/>
          <w:lang w:val="ro-MD"/>
        </w:rPr>
      </w:pPr>
      <w:r w:rsidRPr="00E425C1">
        <w:rPr>
          <w:sz w:val="22"/>
          <w:szCs w:val="22"/>
          <w:lang w:val="ro-MD"/>
        </w:rPr>
        <w:t>• desene.</w:t>
      </w:r>
    </w:p>
    <w:p w:rsidR="004025F7" w:rsidRPr="00E425C1" w:rsidRDefault="004025F7" w:rsidP="00062BAA">
      <w:pPr>
        <w:ind w:left="1701" w:hanging="425"/>
        <w:jc w:val="both"/>
        <w:rPr>
          <w:sz w:val="22"/>
          <w:szCs w:val="22"/>
          <w:lang w:val="ro-MD"/>
        </w:rPr>
      </w:pPr>
    </w:p>
    <w:p w:rsidR="00062BAA" w:rsidRPr="00E425C1" w:rsidRDefault="004025F7" w:rsidP="00062BAA">
      <w:pPr>
        <w:spacing w:before="120" w:after="120"/>
        <w:ind w:left="1276" w:hanging="709"/>
        <w:jc w:val="both"/>
        <w:rPr>
          <w:sz w:val="22"/>
          <w:szCs w:val="22"/>
          <w:lang w:val="ro-MD"/>
        </w:rPr>
      </w:pPr>
      <w:r w:rsidRPr="00E425C1">
        <w:rPr>
          <w:bCs/>
          <w:sz w:val="22"/>
          <w:szCs w:val="22"/>
          <w:lang w:val="ro-MD"/>
        </w:rPr>
        <w:t>40.3</w:t>
      </w:r>
      <w:r w:rsidRPr="00E425C1">
        <w:rPr>
          <w:sz w:val="22"/>
          <w:szCs w:val="22"/>
          <w:lang w:val="ro-MD"/>
        </w:rPr>
        <w:tab/>
      </w:r>
      <w:r w:rsidR="00062BAA" w:rsidRPr="00E425C1">
        <w:rPr>
          <w:sz w:val="22"/>
          <w:szCs w:val="22"/>
          <w:lang w:val="ro-MD"/>
        </w:rPr>
        <w:t>Acceptarea tehnică preliminară este necesară și va face obiectul unei cereri transmise de către Antreprenor Supervizorului. Cererea va indica referința la contract și locul unde urmează să aibă loc această acceptare, după caz. Componentele și materialele specificate în cerere trebuie să fie certificate de către Supervizor ca îndeplinesc cerințele pentru o astfel de acceptare înainte de încorporarea lor în lucrări.</w:t>
      </w:r>
    </w:p>
    <w:p w:rsidR="004025F7" w:rsidRPr="00E425C1" w:rsidRDefault="004025F7" w:rsidP="004025F7">
      <w:pPr>
        <w:spacing w:before="240"/>
        <w:ind w:left="1276" w:hanging="1276"/>
        <w:jc w:val="both"/>
        <w:rPr>
          <w:b/>
          <w:szCs w:val="24"/>
          <w:lang w:val="ro-MD"/>
        </w:rPr>
      </w:pPr>
      <w:bookmarkStart w:id="20" w:name="_Toc76894437"/>
      <w:r w:rsidRPr="00E425C1">
        <w:rPr>
          <w:b/>
          <w:szCs w:val="24"/>
          <w:lang w:val="ro-MD"/>
        </w:rPr>
        <w:t>Articolul 43</w:t>
      </w:r>
      <w:r w:rsidRPr="00E425C1">
        <w:rPr>
          <w:b/>
          <w:szCs w:val="24"/>
          <w:lang w:val="ro-MD"/>
        </w:rPr>
        <w:tab/>
        <w:t xml:space="preserve">Proprietatea asupra </w:t>
      </w:r>
      <w:r w:rsidR="00B43F5E" w:rsidRPr="00E425C1">
        <w:rPr>
          <w:b/>
          <w:szCs w:val="24"/>
          <w:lang w:val="ro-MD"/>
        </w:rPr>
        <w:t xml:space="preserve">utilajelor </w:t>
      </w:r>
      <w:r w:rsidRPr="00E425C1">
        <w:rPr>
          <w:b/>
          <w:szCs w:val="24"/>
          <w:lang w:val="ro-MD"/>
        </w:rPr>
        <w:t>și materialelor</w:t>
      </w:r>
      <w:bookmarkEnd w:id="20"/>
    </w:p>
    <w:p w:rsidR="004025F7" w:rsidRPr="00E425C1" w:rsidRDefault="004025F7" w:rsidP="004025F7">
      <w:pPr>
        <w:spacing w:before="120" w:after="120"/>
        <w:ind w:left="1276" w:hanging="709"/>
        <w:jc w:val="both"/>
        <w:rPr>
          <w:sz w:val="22"/>
          <w:szCs w:val="22"/>
          <w:highlight w:val="yellow"/>
          <w:lang w:val="ro-MD"/>
        </w:rPr>
      </w:pPr>
      <w:r w:rsidRPr="00E425C1">
        <w:rPr>
          <w:bCs/>
          <w:sz w:val="22"/>
          <w:szCs w:val="22"/>
          <w:lang w:val="ro-MD"/>
        </w:rPr>
        <w:t>43.2</w:t>
      </w:r>
      <w:r w:rsidRPr="00E425C1">
        <w:rPr>
          <w:bCs/>
          <w:sz w:val="22"/>
          <w:szCs w:val="22"/>
          <w:lang w:val="ro-MD"/>
        </w:rPr>
        <w:tab/>
      </w:r>
      <w:r w:rsidRPr="00E425C1">
        <w:rPr>
          <w:sz w:val="22"/>
          <w:szCs w:val="22"/>
          <w:lang w:val="ro-MD"/>
        </w:rPr>
        <w:t>Echipamentele, structurile temporare, instalațiile și materialele de pe șantier vor fi încredințate Autorității Contractante pe durata execuției lucrărilor.</w:t>
      </w:r>
    </w:p>
    <w:p w:rsidR="004025F7" w:rsidRPr="00E425C1" w:rsidRDefault="004025F7" w:rsidP="004025F7">
      <w:pPr>
        <w:spacing w:before="240"/>
        <w:ind w:left="1276" w:hanging="1276"/>
        <w:jc w:val="both"/>
        <w:rPr>
          <w:b/>
          <w:szCs w:val="24"/>
          <w:lang w:val="ro-MD"/>
        </w:rPr>
      </w:pPr>
      <w:bookmarkStart w:id="21" w:name="_Toc76894438"/>
      <w:r w:rsidRPr="00E425C1">
        <w:rPr>
          <w:b/>
          <w:szCs w:val="24"/>
          <w:lang w:val="ro-MD"/>
        </w:rPr>
        <w:t>Articolul 44:</w:t>
      </w:r>
      <w:r w:rsidRPr="00E425C1">
        <w:rPr>
          <w:b/>
          <w:szCs w:val="24"/>
          <w:lang w:val="ro-MD"/>
        </w:rPr>
        <w:tab/>
        <w:t>Principii generale pentru plăți</w:t>
      </w:r>
      <w:bookmarkEnd w:id="21"/>
    </w:p>
    <w:p w:rsidR="004025F7" w:rsidRPr="00E425C1" w:rsidRDefault="004025F7" w:rsidP="004025F7">
      <w:pPr>
        <w:tabs>
          <w:tab w:val="right" w:pos="9885"/>
        </w:tabs>
        <w:spacing w:before="120" w:after="120"/>
        <w:ind w:left="1276" w:hanging="709"/>
        <w:jc w:val="both"/>
        <w:rPr>
          <w:sz w:val="22"/>
          <w:szCs w:val="22"/>
          <w:lang w:val="ro-MD"/>
        </w:rPr>
      </w:pPr>
      <w:r w:rsidRPr="00E425C1">
        <w:rPr>
          <w:bCs/>
          <w:sz w:val="22"/>
          <w:szCs w:val="22"/>
          <w:lang w:val="ro-MD"/>
        </w:rPr>
        <w:t>44.1</w:t>
      </w:r>
      <w:r w:rsidRPr="00E425C1">
        <w:rPr>
          <w:sz w:val="22"/>
          <w:szCs w:val="22"/>
          <w:lang w:val="ro-MD"/>
        </w:rPr>
        <w:tab/>
        <w:t xml:space="preserve">Plățile se vor face în </w:t>
      </w:r>
      <w:r w:rsidR="00062BAA" w:rsidRPr="00E425C1">
        <w:rPr>
          <w:sz w:val="22"/>
          <w:szCs w:val="22"/>
          <w:lang w:val="ro-MD"/>
        </w:rPr>
        <w:t>moneda națională, MDL</w:t>
      </w:r>
      <w:r w:rsidRPr="00E425C1">
        <w:rPr>
          <w:sz w:val="22"/>
          <w:szCs w:val="22"/>
          <w:lang w:val="ro-MD"/>
        </w:rPr>
        <w:t>.</w:t>
      </w:r>
    </w:p>
    <w:p w:rsidR="004025F7" w:rsidRPr="00E425C1" w:rsidRDefault="004025F7" w:rsidP="004025F7">
      <w:pPr>
        <w:spacing w:before="120" w:after="120"/>
        <w:ind w:left="1276" w:hanging="709"/>
        <w:jc w:val="both"/>
        <w:rPr>
          <w:sz w:val="22"/>
          <w:szCs w:val="22"/>
          <w:lang w:val="ro-MD"/>
        </w:rPr>
      </w:pPr>
      <w:r w:rsidRPr="00E425C1">
        <w:rPr>
          <w:bCs/>
          <w:sz w:val="22"/>
          <w:szCs w:val="22"/>
          <w:lang w:val="ro-MD"/>
        </w:rPr>
        <w:t>44.2</w:t>
      </w:r>
      <w:r w:rsidRPr="00E425C1">
        <w:rPr>
          <w:sz w:val="22"/>
          <w:szCs w:val="22"/>
          <w:lang w:val="ro-MD"/>
        </w:rPr>
        <w:tab/>
        <w:t>În cazul în care facturile sunt tra</w:t>
      </w:r>
      <w:r w:rsidR="00062BAA" w:rsidRPr="00E425C1">
        <w:rPr>
          <w:sz w:val="22"/>
          <w:szCs w:val="22"/>
          <w:lang w:val="ro-MD"/>
        </w:rPr>
        <w:t>nsmise Autorității Contractante</w:t>
      </w:r>
      <w:r w:rsidRPr="00E425C1">
        <w:rPr>
          <w:sz w:val="22"/>
          <w:szCs w:val="22"/>
          <w:lang w:val="ro-MD"/>
        </w:rPr>
        <w:t>.</w:t>
      </w:r>
    </w:p>
    <w:p w:rsidR="00062BAA" w:rsidRPr="00E425C1" w:rsidRDefault="004025F7" w:rsidP="00062BAA">
      <w:pPr>
        <w:spacing w:before="120" w:after="120"/>
        <w:ind w:left="1276" w:hanging="709"/>
        <w:jc w:val="both"/>
        <w:rPr>
          <w:sz w:val="22"/>
          <w:szCs w:val="22"/>
          <w:lang w:val="ro-MD"/>
        </w:rPr>
      </w:pPr>
      <w:r w:rsidRPr="00E425C1">
        <w:rPr>
          <w:sz w:val="22"/>
          <w:szCs w:val="22"/>
          <w:lang w:val="ro-MD"/>
        </w:rPr>
        <w:t>44.3</w:t>
      </w:r>
      <w:r w:rsidRPr="00E425C1">
        <w:rPr>
          <w:sz w:val="22"/>
          <w:szCs w:val="22"/>
          <w:lang w:val="ro-MD"/>
        </w:rPr>
        <w:tab/>
      </w:r>
      <w:r w:rsidR="00062BAA" w:rsidRPr="00E425C1">
        <w:rPr>
          <w:sz w:val="22"/>
          <w:szCs w:val="22"/>
          <w:lang w:val="ro-MD"/>
        </w:rPr>
        <w:t>Prin derogare, plata prefinanțării către Antreprenor pentru avansul forfetar se efectuează în termen de 30 de zile. Alte plăți de prefinanțare către Antreprenor vor fi efectuate în termen de 90 de zile. Plățile intermediare către Antreprenor a sumelor datorate conform fiecărui certificat de plată intermediar aprobate de către supraveghetor se vor face în termen de 90 de zile, iar plata finală către Antreprenor a sumelor datorate după extrasul de cont final emis de către Supraveghetor va fi făcută în termen de 90 de zile.</w:t>
      </w:r>
    </w:p>
    <w:p w:rsidR="004025F7" w:rsidRPr="00E425C1" w:rsidRDefault="004025F7" w:rsidP="004025F7">
      <w:pPr>
        <w:spacing w:before="240"/>
        <w:ind w:left="1276" w:hanging="1276"/>
        <w:jc w:val="both"/>
        <w:rPr>
          <w:b/>
          <w:szCs w:val="24"/>
          <w:lang w:val="ro-MD"/>
        </w:rPr>
      </w:pPr>
      <w:r w:rsidRPr="00E425C1">
        <w:rPr>
          <w:b/>
          <w:szCs w:val="24"/>
          <w:lang w:val="ro-MD"/>
        </w:rPr>
        <w:t>Articolul 46</w:t>
      </w:r>
      <w:r w:rsidRPr="00E425C1">
        <w:rPr>
          <w:b/>
          <w:szCs w:val="24"/>
          <w:lang w:val="ro-MD"/>
        </w:rPr>
        <w:tab/>
        <w:t>Prefinanțare</w:t>
      </w:r>
    </w:p>
    <w:p w:rsidR="004025F7" w:rsidRPr="00E425C1" w:rsidRDefault="004025F7" w:rsidP="004025F7">
      <w:pPr>
        <w:spacing w:before="120" w:after="120"/>
        <w:ind w:left="1276" w:hanging="709"/>
        <w:jc w:val="both"/>
        <w:rPr>
          <w:sz w:val="22"/>
          <w:szCs w:val="22"/>
          <w:lang w:val="ro-MD"/>
        </w:rPr>
      </w:pPr>
      <w:r w:rsidRPr="00E425C1">
        <w:rPr>
          <w:sz w:val="22"/>
          <w:szCs w:val="22"/>
          <w:lang w:val="ro-MD"/>
        </w:rPr>
        <w:t>46.1</w:t>
      </w:r>
      <w:r w:rsidRPr="00E425C1">
        <w:rPr>
          <w:sz w:val="22"/>
          <w:szCs w:val="22"/>
          <w:lang w:val="ro-MD"/>
        </w:rPr>
        <w:tab/>
        <w:t>Singur</w:t>
      </w:r>
      <w:r w:rsidR="004E61DC" w:rsidRPr="00E425C1">
        <w:rPr>
          <w:sz w:val="22"/>
          <w:szCs w:val="22"/>
          <w:lang w:val="ro-MD"/>
        </w:rPr>
        <w:t xml:space="preserve">a  prefinanțare </w:t>
      </w:r>
      <w:r w:rsidRPr="00E425C1">
        <w:rPr>
          <w:sz w:val="22"/>
          <w:szCs w:val="22"/>
          <w:lang w:val="ro-MD"/>
        </w:rPr>
        <w:t xml:space="preserve"> acordată Antreprenorului este avansul forfetar menționat la articolul 46.1 litera (a).</w:t>
      </w:r>
    </w:p>
    <w:p w:rsidR="004025F7" w:rsidRPr="00E425C1" w:rsidRDefault="004025F7" w:rsidP="004025F7">
      <w:pPr>
        <w:spacing w:before="120" w:after="120"/>
        <w:ind w:left="1276" w:hanging="709"/>
        <w:jc w:val="both"/>
        <w:rPr>
          <w:sz w:val="22"/>
          <w:szCs w:val="22"/>
          <w:lang w:val="ro-MD"/>
        </w:rPr>
      </w:pPr>
      <w:r w:rsidRPr="00E425C1">
        <w:rPr>
          <w:sz w:val="22"/>
          <w:szCs w:val="22"/>
          <w:lang w:val="ro-MD"/>
        </w:rPr>
        <w:t>46.2</w:t>
      </w:r>
      <w:r w:rsidRPr="00E425C1">
        <w:rPr>
          <w:sz w:val="22"/>
          <w:szCs w:val="22"/>
          <w:lang w:val="ro-MD"/>
        </w:rPr>
        <w:tab/>
        <w:t>Prin derogare de la articolul 46.2 din Condițiile generale, avansul forfetar menționat la articolul 46.1 litera (a) este de 20% din prețul contractului inițial.</w:t>
      </w:r>
    </w:p>
    <w:p w:rsidR="004025F7" w:rsidRPr="00E425C1" w:rsidRDefault="004025F7" w:rsidP="004025F7">
      <w:pPr>
        <w:keepNext/>
        <w:tabs>
          <w:tab w:val="left" w:pos="993"/>
        </w:tabs>
        <w:ind w:left="1276" w:hanging="709"/>
        <w:jc w:val="both"/>
        <w:rPr>
          <w:sz w:val="22"/>
          <w:szCs w:val="22"/>
          <w:lang w:val="ro-MD"/>
        </w:rPr>
      </w:pPr>
      <w:r w:rsidRPr="00E425C1">
        <w:rPr>
          <w:sz w:val="22"/>
          <w:szCs w:val="22"/>
          <w:lang w:val="ro-MD"/>
        </w:rPr>
        <w:t>46.3(c)</w:t>
      </w:r>
      <w:r w:rsidRPr="00E425C1">
        <w:rPr>
          <w:sz w:val="22"/>
          <w:szCs w:val="22"/>
          <w:lang w:val="ro-MD"/>
        </w:rPr>
        <w:tab/>
        <w:t>Prin derogare de la articolul 46.3 litera (c) din Condițiile generale, nu este necesară nicio garanție de prefinanțare.</w:t>
      </w:r>
    </w:p>
    <w:p w:rsidR="004025F7" w:rsidRPr="00E425C1" w:rsidRDefault="004025F7" w:rsidP="004025F7">
      <w:pPr>
        <w:spacing w:before="120" w:after="120"/>
        <w:ind w:left="1276" w:hanging="709"/>
        <w:jc w:val="both"/>
        <w:rPr>
          <w:bCs/>
          <w:sz w:val="22"/>
          <w:szCs w:val="22"/>
          <w:lang w:val="ro-MD"/>
        </w:rPr>
      </w:pPr>
      <w:r w:rsidRPr="00E425C1">
        <w:rPr>
          <w:bCs/>
          <w:sz w:val="22"/>
          <w:szCs w:val="22"/>
          <w:lang w:val="ro-MD"/>
        </w:rPr>
        <w:t>46,8</w:t>
      </w:r>
      <w:r w:rsidRPr="00E425C1">
        <w:rPr>
          <w:bCs/>
          <w:sz w:val="22"/>
          <w:szCs w:val="22"/>
          <w:lang w:val="ro-MD"/>
        </w:rPr>
        <w:tab/>
        <w:t xml:space="preserve">Tranșele prevăzute la Articolul 49.1 din prezentele Condiții Speciale sunt determinate astfel încât prefinanțarea să fie rambursată integral înainte de Receptarea Provizorie. </w:t>
      </w:r>
    </w:p>
    <w:p w:rsidR="004025F7" w:rsidRPr="00E425C1" w:rsidRDefault="004025F7" w:rsidP="004025F7">
      <w:pPr>
        <w:spacing w:before="240"/>
        <w:ind w:left="1276" w:hanging="1276"/>
        <w:jc w:val="both"/>
        <w:rPr>
          <w:b/>
          <w:szCs w:val="24"/>
          <w:lang w:val="ro-MD"/>
        </w:rPr>
      </w:pPr>
      <w:bookmarkStart w:id="22" w:name="_Toc76894440"/>
      <w:r w:rsidRPr="00E425C1">
        <w:rPr>
          <w:b/>
          <w:szCs w:val="24"/>
          <w:lang w:val="ro-MD"/>
        </w:rPr>
        <w:t>Articolul 47</w:t>
      </w:r>
      <w:r w:rsidRPr="00E425C1">
        <w:rPr>
          <w:b/>
          <w:szCs w:val="24"/>
          <w:lang w:val="ro-MD"/>
        </w:rPr>
        <w:tab/>
        <w:t>Reținerea banilor</w:t>
      </w:r>
      <w:bookmarkEnd w:id="22"/>
    </w:p>
    <w:p w:rsidR="004025F7" w:rsidRPr="00E425C1" w:rsidRDefault="004025F7" w:rsidP="004025F7">
      <w:pPr>
        <w:spacing w:before="120" w:after="120"/>
        <w:ind w:left="1276" w:hanging="709"/>
        <w:jc w:val="both"/>
        <w:rPr>
          <w:bCs/>
          <w:sz w:val="22"/>
          <w:szCs w:val="22"/>
          <w:lang w:val="ro-MD"/>
        </w:rPr>
      </w:pPr>
      <w:r w:rsidRPr="00E425C1">
        <w:rPr>
          <w:bCs/>
          <w:sz w:val="22"/>
          <w:szCs w:val="22"/>
          <w:lang w:val="ro-MD"/>
        </w:rPr>
        <w:t>47.1</w:t>
      </w:r>
      <w:r w:rsidRPr="00E425C1">
        <w:rPr>
          <w:bCs/>
          <w:sz w:val="22"/>
          <w:szCs w:val="22"/>
          <w:lang w:val="ro-MD"/>
        </w:rPr>
        <w:tab/>
        <w:t xml:space="preserve">Suma reținută </w:t>
      </w:r>
      <w:r w:rsidRPr="00E425C1">
        <w:rPr>
          <w:sz w:val="22"/>
          <w:szCs w:val="22"/>
          <w:lang w:val="ro-MD"/>
        </w:rPr>
        <w:t xml:space="preserve">pentru a garanta punerea în aplicare a obligațiilor Antreprenorului în perioada de răspundere pentru defecțiuni este de </w:t>
      </w:r>
      <w:r w:rsidRPr="00E425C1">
        <w:rPr>
          <w:b/>
          <w:sz w:val="22"/>
          <w:szCs w:val="22"/>
          <w:highlight w:val="yellow"/>
          <w:lang w:val="ro-MD"/>
        </w:rPr>
        <w:t>10 % din prețul contractului</w:t>
      </w:r>
      <w:r w:rsidRPr="00E425C1">
        <w:rPr>
          <w:sz w:val="22"/>
          <w:szCs w:val="22"/>
          <w:lang w:val="ro-MD"/>
        </w:rPr>
        <w:t>. Prin derogare de la articolul 47.1 din Condițiile generale, banii respectivi nu sunt reținuți din plățile intermediare. Tranșele prevăzute la articolul 49.1 din prezentele Condiții Speciale sunt determinate astfel încât suma de reținere să se ridice la 10% din prețul contractului în momentul emiterii Certificatului de acceptare provizorie.</w:t>
      </w:r>
    </w:p>
    <w:p w:rsidR="004025F7" w:rsidRPr="00E425C1" w:rsidRDefault="004025F7" w:rsidP="004025F7">
      <w:pPr>
        <w:spacing w:before="120" w:after="120"/>
        <w:ind w:left="1276" w:hanging="709"/>
        <w:jc w:val="both"/>
        <w:rPr>
          <w:bCs/>
          <w:sz w:val="22"/>
          <w:szCs w:val="22"/>
          <w:lang w:val="ro-MD"/>
        </w:rPr>
      </w:pPr>
      <w:r w:rsidRPr="00E425C1">
        <w:rPr>
          <w:bCs/>
          <w:sz w:val="22"/>
          <w:szCs w:val="22"/>
          <w:lang w:val="ro-MD"/>
        </w:rPr>
        <w:t>47.2</w:t>
      </w:r>
      <w:r w:rsidRPr="00E425C1">
        <w:rPr>
          <w:bCs/>
          <w:sz w:val="22"/>
          <w:szCs w:val="22"/>
          <w:lang w:val="ro-MD"/>
        </w:rPr>
        <w:tab/>
        <w:t xml:space="preserve">Prin derogare de la articolul 47.2 din Condițiile </w:t>
      </w:r>
      <w:r w:rsidR="004E61DC" w:rsidRPr="00E425C1">
        <w:rPr>
          <w:bCs/>
          <w:sz w:val="22"/>
          <w:szCs w:val="22"/>
          <w:lang w:val="ro-MD"/>
        </w:rPr>
        <w:t>G</w:t>
      </w:r>
      <w:r w:rsidRPr="00E425C1">
        <w:rPr>
          <w:bCs/>
          <w:sz w:val="22"/>
          <w:szCs w:val="22"/>
          <w:lang w:val="ro-MD"/>
        </w:rPr>
        <w:t>enerale, sumele de reținere nu po</w:t>
      </w:r>
      <w:r w:rsidR="004E61DC" w:rsidRPr="00E425C1">
        <w:rPr>
          <w:bCs/>
          <w:sz w:val="22"/>
          <w:szCs w:val="22"/>
          <w:lang w:val="ro-MD"/>
        </w:rPr>
        <w:t xml:space="preserve">t </w:t>
      </w:r>
      <w:r w:rsidRPr="00E425C1">
        <w:rPr>
          <w:bCs/>
          <w:sz w:val="22"/>
          <w:szCs w:val="22"/>
          <w:lang w:val="ro-MD"/>
        </w:rPr>
        <w:t xml:space="preserve"> fi </w:t>
      </w:r>
      <w:r w:rsidR="004E61DC" w:rsidRPr="00E425C1">
        <w:rPr>
          <w:bCs/>
          <w:sz w:val="22"/>
          <w:szCs w:val="22"/>
          <w:lang w:val="ro-MD"/>
        </w:rPr>
        <w:t xml:space="preserve">substituite prin </w:t>
      </w:r>
      <w:r w:rsidRPr="00E425C1">
        <w:rPr>
          <w:bCs/>
          <w:sz w:val="22"/>
          <w:szCs w:val="22"/>
          <w:lang w:val="ro-MD"/>
        </w:rPr>
        <w:t>garanți</w:t>
      </w:r>
      <w:r w:rsidR="004E61DC" w:rsidRPr="00E425C1">
        <w:rPr>
          <w:bCs/>
          <w:sz w:val="22"/>
          <w:szCs w:val="22"/>
          <w:lang w:val="ro-MD"/>
        </w:rPr>
        <w:t>a</w:t>
      </w:r>
      <w:r w:rsidRPr="00E425C1">
        <w:rPr>
          <w:bCs/>
          <w:sz w:val="22"/>
          <w:szCs w:val="22"/>
          <w:lang w:val="ro-MD"/>
        </w:rPr>
        <w:t xml:space="preserve"> de reținere.</w:t>
      </w:r>
    </w:p>
    <w:p w:rsidR="004025F7" w:rsidRPr="00E425C1" w:rsidRDefault="004025F7" w:rsidP="004025F7">
      <w:pPr>
        <w:spacing w:before="240"/>
        <w:ind w:left="1276" w:hanging="1276"/>
        <w:jc w:val="both"/>
        <w:rPr>
          <w:b/>
          <w:szCs w:val="24"/>
          <w:lang w:val="ro-MD"/>
        </w:rPr>
      </w:pPr>
      <w:bookmarkStart w:id="23" w:name="_Toc76894441"/>
      <w:r w:rsidRPr="00E425C1">
        <w:rPr>
          <w:b/>
          <w:szCs w:val="24"/>
          <w:lang w:val="ro-MD"/>
        </w:rPr>
        <w:t>Articolul 48</w:t>
      </w:r>
      <w:r w:rsidRPr="00E425C1">
        <w:rPr>
          <w:b/>
          <w:szCs w:val="24"/>
          <w:lang w:val="ro-MD"/>
        </w:rPr>
        <w:tab/>
        <w:t>Revizuirea prețului</w:t>
      </w:r>
      <w:bookmarkEnd w:id="23"/>
    </w:p>
    <w:p w:rsidR="004025F7" w:rsidRPr="00E425C1" w:rsidRDefault="004025F7" w:rsidP="004025F7">
      <w:pPr>
        <w:spacing w:before="120" w:after="60"/>
        <w:ind w:firstLine="720"/>
        <w:jc w:val="both"/>
        <w:rPr>
          <w:sz w:val="22"/>
          <w:szCs w:val="22"/>
          <w:lang w:val="ro-MD"/>
        </w:rPr>
      </w:pPr>
      <w:r w:rsidRPr="00E425C1">
        <w:rPr>
          <w:sz w:val="22"/>
          <w:szCs w:val="22"/>
          <w:lang w:val="ro-MD"/>
        </w:rPr>
        <w:t>48.1</w:t>
      </w:r>
      <w:r w:rsidRPr="00E425C1">
        <w:rPr>
          <w:sz w:val="22"/>
          <w:szCs w:val="22"/>
          <w:lang w:val="ro-MD"/>
        </w:rPr>
        <w:tab/>
        <w:t>Prețurile sunt fixe și nu vor fi revizuite.</w:t>
      </w:r>
    </w:p>
    <w:p w:rsidR="004025F7" w:rsidRPr="00E425C1" w:rsidRDefault="004025F7" w:rsidP="004025F7">
      <w:pPr>
        <w:spacing w:before="240"/>
        <w:ind w:left="1276" w:hanging="1276"/>
        <w:jc w:val="both"/>
        <w:rPr>
          <w:b/>
          <w:szCs w:val="24"/>
          <w:lang w:val="ro-MD"/>
        </w:rPr>
      </w:pPr>
      <w:bookmarkStart w:id="24" w:name="_Toc76894442"/>
      <w:r w:rsidRPr="00E425C1">
        <w:rPr>
          <w:b/>
          <w:szCs w:val="24"/>
          <w:lang w:val="ro-MD"/>
        </w:rPr>
        <w:t>Articolul 49</w:t>
      </w:r>
      <w:r w:rsidRPr="00E425C1">
        <w:rPr>
          <w:b/>
          <w:szCs w:val="24"/>
          <w:lang w:val="ro-MD"/>
        </w:rPr>
        <w:tab/>
        <w:t>Măsurare</w:t>
      </w:r>
      <w:bookmarkStart w:id="25" w:name="_GoBack"/>
      <w:bookmarkEnd w:id="24"/>
      <w:bookmarkEnd w:id="25"/>
    </w:p>
    <w:p w:rsidR="004025F7" w:rsidRPr="00E425C1" w:rsidRDefault="004025F7" w:rsidP="004025F7">
      <w:pPr>
        <w:spacing w:before="120" w:after="120"/>
        <w:ind w:left="1276" w:hanging="709"/>
        <w:jc w:val="both"/>
        <w:rPr>
          <w:sz w:val="22"/>
          <w:szCs w:val="22"/>
          <w:lang w:val="ro-MD"/>
        </w:rPr>
      </w:pPr>
      <w:r w:rsidRPr="00E425C1">
        <w:rPr>
          <w:bCs/>
          <w:sz w:val="22"/>
          <w:szCs w:val="22"/>
          <w:lang w:val="ro-MD"/>
        </w:rPr>
        <w:t>49.1</w:t>
      </w:r>
      <w:r w:rsidRPr="00E425C1">
        <w:rPr>
          <w:bCs/>
          <w:sz w:val="22"/>
          <w:szCs w:val="22"/>
          <w:lang w:val="ro-MD"/>
        </w:rPr>
        <w:tab/>
      </w:r>
      <w:r w:rsidRPr="00E425C1">
        <w:rPr>
          <w:sz w:val="22"/>
          <w:szCs w:val="22"/>
          <w:lang w:val="ro-MD"/>
        </w:rPr>
        <w:t>Acesta este un contract forfetar.</w:t>
      </w:r>
    </w:p>
    <w:p w:rsidR="004025F7" w:rsidRPr="00E425C1" w:rsidRDefault="004025F7" w:rsidP="004025F7">
      <w:pPr>
        <w:spacing w:before="120" w:after="120"/>
        <w:ind w:left="1276"/>
        <w:jc w:val="both"/>
        <w:rPr>
          <w:sz w:val="22"/>
          <w:szCs w:val="22"/>
          <w:lang w:val="ro-MD"/>
        </w:rPr>
      </w:pPr>
      <w:r w:rsidRPr="00E425C1">
        <w:rPr>
          <w:sz w:val="22"/>
          <w:szCs w:val="22"/>
          <w:lang w:val="ro-MD"/>
        </w:rPr>
        <w:lastRenderedPageBreak/>
        <w:t>În condițiile impuse de Condițiile Speciale și Condițiile Generale, sumele datorate se calculează prin următoarele tranșe, exprimate ca procent din prețul contractului:</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062BAA" w:rsidRPr="00E425C1" w:rsidTr="009A0D98">
        <w:tc>
          <w:tcPr>
            <w:tcW w:w="533" w:type="dxa"/>
            <w:shd w:val="clear" w:color="auto" w:fill="auto"/>
          </w:tcPr>
          <w:p w:rsidR="00062BAA" w:rsidRPr="00E425C1" w:rsidRDefault="00062BAA" w:rsidP="00062BAA">
            <w:pPr>
              <w:rPr>
                <w:lang w:val="ro-MD"/>
              </w:rPr>
            </w:pPr>
          </w:p>
        </w:tc>
        <w:tc>
          <w:tcPr>
            <w:tcW w:w="1276" w:type="dxa"/>
            <w:shd w:val="clear" w:color="auto" w:fill="auto"/>
          </w:tcPr>
          <w:p w:rsidR="00062BAA" w:rsidRPr="00E425C1" w:rsidRDefault="00062BAA" w:rsidP="00062BAA">
            <w:pPr>
              <w:rPr>
                <w:lang w:val="ro-MD"/>
              </w:rPr>
            </w:pPr>
            <w:r w:rsidRPr="00E425C1">
              <w:rPr>
                <w:lang w:val="ro-MD"/>
              </w:rPr>
              <w:t>Percentage</w:t>
            </w:r>
          </w:p>
        </w:tc>
        <w:tc>
          <w:tcPr>
            <w:tcW w:w="2552" w:type="dxa"/>
            <w:shd w:val="clear" w:color="auto" w:fill="auto"/>
          </w:tcPr>
          <w:p w:rsidR="00062BAA" w:rsidRPr="00E425C1" w:rsidRDefault="00062BAA" w:rsidP="00062BAA">
            <w:pPr>
              <w:rPr>
                <w:lang w:val="ro-MD"/>
              </w:rPr>
            </w:pPr>
            <w:r w:rsidRPr="00E425C1">
              <w:rPr>
                <w:lang w:val="ro-MD"/>
              </w:rPr>
              <w:t>Nature</w:t>
            </w:r>
          </w:p>
        </w:tc>
        <w:tc>
          <w:tcPr>
            <w:tcW w:w="3890" w:type="dxa"/>
            <w:shd w:val="clear" w:color="auto" w:fill="auto"/>
          </w:tcPr>
          <w:p w:rsidR="00062BAA" w:rsidRPr="00E425C1" w:rsidRDefault="00062BAA" w:rsidP="00062BAA">
            <w:pPr>
              <w:rPr>
                <w:lang w:val="ro-MD"/>
              </w:rPr>
            </w:pPr>
            <w:r w:rsidRPr="00E425C1">
              <w:rPr>
                <w:lang w:val="ro-MD"/>
              </w:rPr>
              <w:t>Timing</w:t>
            </w:r>
          </w:p>
        </w:tc>
      </w:tr>
      <w:tr w:rsidR="00062BAA" w:rsidRPr="00E425C1" w:rsidTr="009A0D98">
        <w:tc>
          <w:tcPr>
            <w:tcW w:w="533" w:type="dxa"/>
            <w:shd w:val="clear" w:color="auto" w:fill="auto"/>
          </w:tcPr>
          <w:p w:rsidR="00062BAA" w:rsidRPr="00E425C1" w:rsidRDefault="00062BAA" w:rsidP="00062BAA">
            <w:pPr>
              <w:rPr>
                <w:lang w:val="ro-MD"/>
              </w:rPr>
            </w:pPr>
            <w:r w:rsidRPr="00E425C1">
              <w:rPr>
                <w:lang w:val="ro-MD"/>
              </w:rPr>
              <w:t>1</w:t>
            </w:r>
          </w:p>
        </w:tc>
        <w:tc>
          <w:tcPr>
            <w:tcW w:w="1276" w:type="dxa"/>
            <w:shd w:val="clear" w:color="auto" w:fill="auto"/>
          </w:tcPr>
          <w:p w:rsidR="00062BAA" w:rsidRPr="00E425C1" w:rsidRDefault="00062BAA" w:rsidP="00062BAA">
            <w:pPr>
              <w:rPr>
                <w:lang w:val="ro-MD"/>
              </w:rPr>
            </w:pPr>
            <w:r w:rsidRPr="00E425C1">
              <w:rPr>
                <w:lang w:val="ro-MD"/>
              </w:rPr>
              <w:t>20%</w:t>
            </w:r>
          </w:p>
        </w:tc>
        <w:tc>
          <w:tcPr>
            <w:tcW w:w="2552" w:type="dxa"/>
            <w:shd w:val="clear" w:color="auto" w:fill="auto"/>
          </w:tcPr>
          <w:p w:rsidR="00062BAA" w:rsidRPr="00E425C1" w:rsidRDefault="00062BAA" w:rsidP="00062BAA">
            <w:pPr>
              <w:rPr>
                <w:lang w:val="ro-MD"/>
              </w:rPr>
            </w:pPr>
            <w:r w:rsidRPr="00E425C1">
              <w:rPr>
                <w:lang w:val="ro-MD"/>
              </w:rPr>
              <w:t>Plata intemediară art. 50</w:t>
            </w:r>
          </w:p>
        </w:tc>
        <w:tc>
          <w:tcPr>
            <w:tcW w:w="3890" w:type="dxa"/>
            <w:shd w:val="clear" w:color="auto" w:fill="auto"/>
          </w:tcPr>
          <w:p w:rsidR="00062BAA" w:rsidRPr="00E425C1" w:rsidRDefault="00062BAA" w:rsidP="00062BAA">
            <w:pPr>
              <w:pStyle w:val="HTML"/>
              <w:shd w:val="clear" w:color="auto" w:fill="F8F9FA"/>
              <w:rPr>
                <w:rFonts w:ascii="Times New Roman" w:hAnsi="Times New Roman" w:cs="Times New Roman"/>
                <w:sz w:val="24"/>
                <w:lang w:val="ro-MD" w:eastAsia="zh-CN"/>
              </w:rPr>
            </w:pPr>
            <w:r w:rsidRPr="00E425C1">
              <w:rPr>
                <w:rFonts w:ascii="Times New Roman" w:hAnsi="Times New Roman" w:cs="Times New Roman"/>
                <w:sz w:val="24"/>
                <w:lang w:val="ro-MD" w:eastAsia="zh-CN"/>
              </w:rPr>
              <w:t>După finalizarea a 20% din cantitățile ferme pentru care contractorul și-a prezentat prețul integral.</w:t>
            </w:r>
          </w:p>
          <w:p w:rsidR="00062BAA" w:rsidRPr="00E425C1" w:rsidRDefault="00062BAA" w:rsidP="00062BAA">
            <w:pPr>
              <w:rPr>
                <w:lang w:val="ro-MD"/>
              </w:rPr>
            </w:pPr>
          </w:p>
        </w:tc>
      </w:tr>
      <w:tr w:rsidR="00062BAA" w:rsidRPr="00E425C1" w:rsidTr="009A0D98">
        <w:tc>
          <w:tcPr>
            <w:tcW w:w="533" w:type="dxa"/>
            <w:shd w:val="clear" w:color="auto" w:fill="auto"/>
          </w:tcPr>
          <w:p w:rsidR="00062BAA" w:rsidRPr="00E425C1" w:rsidRDefault="00062BAA" w:rsidP="00062BAA">
            <w:pPr>
              <w:rPr>
                <w:lang w:val="ro-MD"/>
              </w:rPr>
            </w:pPr>
            <w:r w:rsidRPr="00E425C1">
              <w:rPr>
                <w:lang w:val="ro-MD"/>
              </w:rPr>
              <w:t>2</w:t>
            </w:r>
          </w:p>
        </w:tc>
        <w:tc>
          <w:tcPr>
            <w:tcW w:w="1276" w:type="dxa"/>
            <w:shd w:val="clear" w:color="auto" w:fill="auto"/>
          </w:tcPr>
          <w:p w:rsidR="00062BAA" w:rsidRPr="00E425C1" w:rsidRDefault="00062BAA" w:rsidP="00062BAA">
            <w:pPr>
              <w:rPr>
                <w:lang w:val="ro-MD"/>
              </w:rPr>
            </w:pPr>
            <w:r w:rsidRPr="00E425C1">
              <w:rPr>
                <w:lang w:val="ro-MD"/>
              </w:rPr>
              <w:t>20%</w:t>
            </w:r>
          </w:p>
        </w:tc>
        <w:tc>
          <w:tcPr>
            <w:tcW w:w="2552" w:type="dxa"/>
            <w:shd w:val="clear" w:color="auto" w:fill="auto"/>
          </w:tcPr>
          <w:p w:rsidR="00062BAA" w:rsidRPr="00E425C1" w:rsidRDefault="00062BAA" w:rsidP="00062BAA">
            <w:pPr>
              <w:rPr>
                <w:lang w:val="ro-MD"/>
              </w:rPr>
            </w:pPr>
            <w:r w:rsidRPr="00E425C1">
              <w:rPr>
                <w:lang w:val="ro-MD"/>
              </w:rPr>
              <w:t>Plata intemediară art. 50</w:t>
            </w:r>
          </w:p>
        </w:tc>
        <w:tc>
          <w:tcPr>
            <w:tcW w:w="3890" w:type="dxa"/>
            <w:shd w:val="clear" w:color="auto" w:fill="auto"/>
          </w:tcPr>
          <w:p w:rsidR="00062BAA" w:rsidRPr="00E425C1" w:rsidRDefault="00062BAA" w:rsidP="00062BAA">
            <w:pPr>
              <w:pStyle w:val="HTML"/>
              <w:shd w:val="clear" w:color="auto" w:fill="F8F9FA"/>
              <w:rPr>
                <w:rFonts w:ascii="Times New Roman" w:hAnsi="Times New Roman" w:cs="Times New Roman"/>
                <w:sz w:val="24"/>
                <w:lang w:val="ro-MD" w:eastAsia="zh-CN"/>
              </w:rPr>
            </w:pPr>
            <w:r w:rsidRPr="00E425C1">
              <w:rPr>
                <w:rFonts w:ascii="Times New Roman" w:hAnsi="Times New Roman" w:cs="Times New Roman"/>
                <w:sz w:val="24"/>
                <w:lang w:val="ro-MD" w:eastAsia="zh-CN"/>
              </w:rPr>
              <w:t>După finalizarea a 40% din cantitățile ferme pentru care contractorul și-a prezentat prețul integral.</w:t>
            </w:r>
          </w:p>
          <w:p w:rsidR="00062BAA" w:rsidRPr="00E425C1" w:rsidRDefault="00062BAA" w:rsidP="00062BAA">
            <w:pPr>
              <w:rPr>
                <w:lang w:val="ro-MD"/>
              </w:rPr>
            </w:pPr>
          </w:p>
        </w:tc>
      </w:tr>
      <w:tr w:rsidR="00062BAA" w:rsidRPr="00E425C1" w:rsidTr="009A0D98">
        <w:tc>
          <w:tcPr>
            <w:tcW w:w="533" w:type="dxa"/>
            <w:shd w:val="clear" w:color="auto" w:fill="auto"/>
          </w:tcPr>
          <w:p w:rsidR="00062BAA" w:rsidRPr="00E425C1" w:rsidRDefault="00062BAA" w:rsidP="00062BAA">
            <w:pPr>
              <w:rPr>
                <w:lang w:val="ro-MD"/>
              </w:rPr>
            </w:pPr>
            <w:r w:rsidRPr="00E425C1">
              <w:rPr>
                <w:lang w:val="ro-MD"/>
              </w:rPr>
              <w:t>3</w:t>
            </w:r>
          </w:p>
        </w:tc>
        <w:tc>
          <w:tcPr>
            <w:tcW w:w="1276" w:type="dxa"/>
            <w:shd w:val="clear" w:color="auto" w:fill="auto"/>
          </w:tcPr>
          <w:p w:rsidR="00062BAA" w:rsidRPr="00E425C1" w:rsidRDefault="00062BAA" w:rsidP="00062BAA">
            <w:pPr>
              <w:rPr>
                <w:lang w:val="ro-MD"/>
              </w:rPr>
            </w:pPr>
            <w:r w:rsidRPr="00E425C1">
              <w:rPr>
                <w:lang w:val="ro-MD"/>
              </w:rPr>
              <w:t>20%</w:t>
            </w:r>
          </w:p>
        </w:tc>
        <w:tc>
          <w:tcPr>
            <w:tcW w:w="2552" w:type="dxa"/>
            <w:shd w:val="clear" w:color="auto" w:fill="auto"/>
          </w:tcPr>
          <w:p w:rsidR="00062BAA" w:rsidRPr="00E425C1" w:rsidRDefault="00062BAA" w:rsidP="00062BAA">
            <w:pPr>
              <w:rPr>
                <w:lang w:val="ro-MD"/>
              </w:rPr>
            </w:pPr>
            <w:r w:rsidRPr="00E425C1">
              <w:rPr>
                <w:lang w:val="ro-MD"/>
              </w:rPr>
              <w:t>Plata intemediară art. 50</w:t>
            </w:r>
          </w:p>
        </w:tc>
        <w:tc>
          <w:tcPr>
            <w:tcW w:w="3890" w:type="dxa"/>
            <w:shd w:val="clear" w:color="auto" w:fill="auto"/>
          </w:tcPr>
          <w:p w:rsidR="00062BAA" w:rsidRPr="00E425C1" w:rsidRDefault="00062BAA" w:rsidP="00062BAA">
            <w:pPr>
              <w:pStyle w:val="HTML"/>
              <w:shd w:val="clear" w:color="auto" w:fill="F8F9FA"/>
              <w:rPr>
                <w:rFonts w:ascii="Times New Roman" w:hAnsi="Times New Roman" w:cs="Times New Roman"/>
                <w:sz w:val="24"/>
                <w:lang w:val="ro-MD" w:eastAsia="zh-CN"/>
              </w:rPr>
            </w:pPr>
            <w:r w:rsidRPr="00E425C1">
              <w:rPr>
                <w:rFonts w:ascii="Times New Roman" w:hAnsi="Times New Roman" w:cs="Times New Roman"/>
                <w:sz w:val="24"/>
                <w:lang w:val="ro-MD" w:eastAsia="zh-CN"/>
              </w:rPr>
              <w:t>După finalizarea a 60% din cantitățile ferme pentru care contractorul și-a prezentat prețul integral.</w:t>
            </w:r>
          </w:p>
          <w:p w:rsidR="00062BAA" w:rsidRPr="00E425C1" w:rsidRDefault="00062BAA" w:rsidP="00062BAA">
            <w:pPr>
              <w:rPr>
                <w:lang w:val="ro-MD"/>
              </w:rPr>
            </w:pPr>
          </w:p>
        </w:tc>
      </w:tr>
      <w:tr w:rsidR="00062BAA" w:rsidRPr="00E425C1" w:rsidTr="009A0D98">
        <w:tc>
          <w:tcPr>
            <w:tcW w:w="533" w:type="dxa"/>
            <w:shd w:val="clear" w:color="auto" w:fill="auto"/>
          </w:tcPr>
          <w:p w:rsidR="00062BAA" w:rsidRPr="00E425C1" w:rsidRDefault="00062BAA" w:rsidP="00062BAA">
            <w:pPr>
              <w:rPr>
                <w:lang w:val="ro-MD"/>
              </w:rPr>
            </w:pPr>
            <w:r w:rsidRPr="00E425C1">
              <w:rPr>
                <w:lang w:val="ro-MD"/>
              </w:rPr>
              <w:t>4</w:t>
            </w:r>
          </w:p>
        </w:tc>
        <w:tc>
          <w:tcPr>
            <w:tcW w:w="1276" w:type="dxa"/>
            <w:shd w:val="clear" w:color="auto" w:fill="auto"/>
          </w:tcPr>
          <w:p w:rsidR="00062BAA" w:rsidRPr="00E425C1" w:rsidRDefault="00062BAA" w:rsidP="00062BAA">
            <w:pPr>
              <w:rPr>
                <w:lang w:val="ro-MD"/>
              </w:rPr>
            </w:pPr>
            <w:r w:rsidRPr="00E425C1">
              <w:rPr>
                <w:lang w:val="ro-MD"/>
              </w:rPr>
              <w:t>20%</w:t>
            </w:r>
          </w:p>
        </w:tc>
        <w:tc>
          <w:tcPr>
            <w:tcW w:w="2552" w:type="dxa"/>
            <w:shd w:val="clear" w:color="auto" w:fill="auto"/>
          </w:tcPr>
          <w:p w:rsidR="00062BAA" w:rsidRPr="00E425C1" w:rsidRDefault="00062BAA" w:rsidP="00062BAA">
            <w:pPr>
              <w:rPr>
                <w:lang w:val="ro-MD"/>
              </w:rPr>
            </w:pPr>
            <w:r w:rsidRPr="00E425C1">
              <w:rPr>
                <w:lang w:val="ro-MD"/>
              </w:rPr>
              <w:t>Plata intemediară art. 50</w:t>
            </w:r>
          </w:p>
        </w:tc>
        <w:tc>
          <w:tcPr>
            <w:tcW w:w="3890" w:type="dxa"/>
            <w:shd w:val="clear" w:color="auto" w:fill="auto"/>
          </w:tcPr>
          <w:p w:rsidR="00062BAA" w:rsidRPr="00E425C1" w:rsidRDefault="00062BAA" w:rsidP="00062BAA">
            <w:pPr>
              <w:pStyle w:val="HTML"/>
              <w:shd w:val="clear" w:color="auto" w:fill="F8F9FA"/>
              <w:rPr>
                <w:rFonts w:ascii="Times New Roman" w:hAnsi="Times New Roman" w:cs="Times New Roman"/>
                <w:sz w:val="24"/>
                <w:lang w:val="ro-MD" w:eastAsia="zh-CN"/>
              </w:rPr>
            </w:pPr>
            <w:r w:rsidRPr="00E425C1">
              <w:rPr>
                <w:rFonts w:ascii="Times New Roman" w:hAnsi="Times New Roman" w:cs="Times New Roman"/>
                <w:sz w:val="24"/>
                <w:lang w:val="ro-MD" w:eastAsia="zh-CN"/>
              </w:rPr>
              <w:t>După finalizarea a 80% din cantitățile ferme pentru care contractorul și-a prezentat prețul integral.</w:t>
            </w:r>
          </w:p>
          <w:p w:rsidR="00062BAA" w:rsidRPr="00E425C1" w:rsidRDefault="00062BAA" w:rsidP="00062BAA">
            <w:pPr>
              <w:rPr>
                <w:lang w:val="ro-MD"/>
              </w:rPr>
            </w:pPr>
          </w:p>
        </w:tc>
      </w:tr>
      <w:tr w:rsidR="00062BAA" w:rsidRPr="00E425C1" w:rsidTr="009A0D98">
        <w:tc>
          <w:tcPr>
            <w:tcW w:w="533" w:type="dxa"/>
            <w:shd w:val="clear" w:color="auto" w:fill="auto"/>
          </w:tcPr>
          <w:p w:rsidR="00062BAA" w:rsidRPr="00E425C1" w:rsidRDefault="00062BAA" w:rsidP="00062BAA">
            <w:pPr>
              <w:rPr>
                <w:lang w:val="ro-MD"/>
              </w:rPr>
            </w:pPr>
            <w:r w:rsidRPr="00E425C1">
              <w:rPr>
                <w:lang w:val="ro-MD"/>
              </w:rPr>
              <w:t>5</w:t>
            </w:r>
          </w:p>
        </w:tc>
        <w:tc>
          <w:tcPr>
            <w:tcW w:w="1276" w:type="dxa"/>
            <w:shd w:val="clear" w:color="auto" w:fill="auto"/>
          </w:tcPr>
          <w:p w:rsidR="00062BAA" w:rsidRPr="00E425C1" w:rsidRDefault="00062BAA" w:rsidP="00062BAA">
            <w:pPr>
              <w:rPr>
                <w:lang w:val="ro-MD"/>
              </w:rPr>
            </w:pPr>
            <w:r w:rsidRPr="00E425C1">
              <w:rPr>
                <w:lang w:val="ro-MD"/>
              </w:rPr>
              <w:t>10%</w:t>
            </w:r>
          </w:p>
        </w:tc>
        <w:tc>
          <w:tcPr>
            <w:tcW w:w="2552" w:type="dxa"/>
            <w:shd w:val="clear" w:color="auto" w:fill="auto"/>
          </w:tcPr>
          <w:p w:rsidR="00062BAA" w:rsidRPr="00E425C1" w:rsidRDefault="00062BAA" w:rsidP="00062BAA">
            <w:pPr>
              <w:rPr>
                <w:lang w:val="ro-MD"/>
              </w:rPr>
            </w:pPr>
            <w:r w:rsidRPr="00E425C1">
              <w:rPr>
                <w:lang w:val="ro-MD"/>
              </w:rPr>
              <w:t>Plata intemediară art. 50</w:t>
            </w:r>
          </w:p>
        </w:tc>
        <w:tc>
          <w:tcPr>
            <w:tcW w:w="3890" w:type="dxa"/>
            <w:shd w:val="clear" w:color="auto" w:fill="auto"/>
          </w:tcPr>
          <w:p w:rsidR="00062BAA" w:rsidRPr="00E425C1" w:rsidRDefault="00062BAA" w:rsidP="00062BAA">
            <w:pPr>
              <w:pStyle w:val="HTML"/>
              <w:shd w:val="clear" w:color="auto" w:fill="F8F9FA"/>
              <w:rPr>
                <w:rFonts w:ascii="Times New Roman" w:hAnsi="Times New Roman" w:cs="Times New Roman"/>
                <w:sz w:val="24"/>
                <w:lang w:val="ro-MD" w:eastAsia="zh-CN"/>
              </w:rPr>
            </w:pPr>
            <w:r w:rsidRPr="00E425C1">
              <w:rPr>
                <w:rFonts w:ascii="Times New Roman" w:hAnsi="Times New Roman" w:cs="Times New Roman"/>
                <w:sz w:val="24"/>
                <w:lang w:val="ro-MD" w:eastAsia="zh-CN"/>
              </w:rPr>
              <w:t>După eliberarea procesului verbal de recepție a lucrărilor provizorie.</w:t>
            </w:r>
          </w:p>
          <w:p w:rsidR="00062BAA" w:rsidRPr="00E425C1" w:rsidRDefault="00062BAA" w:rsidP="00062BAA">
            <w:pPr>
              <w:rPr>
                <w:lang w:val="ro-MD"/>
              </w:rPr>
            </w:pPr>
          </w:p>
        </w:tc>
      </w:tr>
    </w:tbl>
    <w:p w:rsidR="004025F7" w:rsidRPr="00E425C1" w:rsidRDefault="004025F7" w:rsidP="004025F7">
      <w:pPr>
        <w:spacing w:before="240"/>
        <w:ind w:left="1276" w:hanging="1276"/>
        <w:jc w:val="both"/>
        <w:rPr>
          <w:b/>
          <w:szCs w:val="24"/>
          <w:lang w:val="ro-MD"/>
        </w:rPr>
      </w:pPr>
      <w:bookmarkStart w:id="26" w:name="_Toc76894443"/>
      <w:r w:rsidRPr="00E425C1">
        <w:rPr>
          <w:b/>
          <w:szCs w:val="24"/>
          <w:lang w:val="ro-MD"/>
        </w:rPr>
        <w:t>Articolul 50</w:t>
      </w:r>
      <w:r w:rsidRPr="00E425C1">
        <w:rPr>
          <w:b/>
          <w:szCs w:val="24"/>
          <w:lang w:val="ro-MD"/>
        </w:rPr>
        <w:tab/>
        <w:t>Plăți intermediare</w:t>
      </w:r>
      <w:bookmarkEnd w:id="26"/>
    </w:p>
    <w:p w:rsidR="004025F7" w:rsidRPr="00E425C1" w:rsidRDefault="004025F7" w:rsidP="004025F7">
      <w:pPr>
        <w:spacing w:before="120" w:after="120"/>
        <w:ind w:left="1276" w:hanging="709"/>
        <w:jc w:val="both"/>
        <w:rPr>
          <w:bCs/>
          <w:sz w:val="22"/>
          <w:szCs w:val="22"/>
          <w:lang w:val="ro-MD"/>
        </w:rPr>
      </w:pPr>
      <w:r w:rsidRPr="00E425C1">
        <w:rPr>
          <w:bCs/>
          <w:sz w:val="22"/>
          <w:szCs w:val="22"/>
          <w:lang w:val="ro-MD"/>
        </w:rPr>
        <w:t>50,7</w:t>
      </w:r>
      <w:r w:rsidRPr="00E425C1">
        <w:rPr>
          <w:sz w:val="22"/>
          <w:szCs w:val="22"/>
          <w:lang w:val="ro-MD"/>
        </w:rPr>
        <w:tab/>
      </w:r>
      <w:r w:rsidRPr="00E425C1">
        <w:rPr>
          <w:bCs/>
          <w:sz w:val="22"/>
          <w:szCs w:val="22"/>
          <w:lang w:val="ro-MD"/>
        </w:rPr>
        <w:t>Plățile intermediare vor fi plătite conform prevederilor Articolului 49.1 din prezentele Condiții Speciale.</w:t>
      </w:r>
    </w:p>
    <w:p w:rsidR="004025F7" w:rsidRPr="00E425C1" w:rsidRDefault="004025F7" w:rsidP="004025F7">
      <w:pPr>
        <w:keepNext/>
        <w:spacing w:before="240"/>
        <w:ind w:left="1276" w:hanging="1276"/>
        <w:jc w:val="both"/>
        <w:rPr>
          <w:b/>
          <w:szCs w:val="24"/>
          <w:lang w:val="ro-MD"/>
        </w:rPr>
      </w:pPr>
      <w:bookmarkStart w:id="27" w:name="_Toc76894448"/>
      <w:r w:rsidRPr="00E425C1">
        <w:rPr>
          <w:b/>
          <w:szCs w:val="24"/>
          <w:lang w:val="ro-MD"/>
        </w:rPr>
        <w:t>Articolul 61</w:t>
      </w:r>
      <w:r w:rsidRPr="00E425C1">
        <w:rPr>
          <w:b/>
          <w:szCs w:val="24"/>
          <w:lang w:val="ro-MD"/>
        </w:rPr>
        <w:tab/>
        <w:t xml:space="preserve">Raspunderea </w:t>
      </w:r>
      <w:r w:rsidR="00D2746A" w:rsidRPr="00E425C1">
        <w:rPr>
          <w:b/>
          <w:szCs w:val="24"/>
          <w:lang w:val="ro-MD"/>
        </w:rPr>
        <w:t xml:space="preserve">pentru </w:t>
      </w:r>
      <w:r w:rsidRPr="00E425C1">
        <w:rPr>
          <w:b/>
          <w:szCs w:val="24"/>
          <w:lang w:val="ro-MD"/>
        </w:rPr>
        <w:t>defec</w:t>
      </w:r>
      <w:r w:rsidR="00D2746A" w:rsidRPr="00E425C1">
        <w:rPr>
          <w:b/>
          <w:szCs w:val="24"/>
          <w:lang w:val="ro-MD"/>
        </w:rPr>
        <w:t>țiuni</w:t>
      </w:r>
      <w:bookmarkEnd w:id="27"/>
    </w:p>
    <w:p w:rsidR="004025F7" w:rsidRPr="00E425C1" w:rsidRDefault="004025F7" w:rsidP="004025F7">
      <w:pPr>
        <w:spacing w:before="120" w:after="120"/>
        <w:ind w:left="1276" w:hanging="709"/>
        <w:jc w:val="both"/>
        <w:rPr>
          <w:sz w:val="22"/>
          <w:szCs w:val="22"/>
          <w:lang w:val="ro-MD"/>
        </w:rPr>
      </w:pPr>
      <w:r w:rsidRPr="00E425C1">
        <w:rPr>
          <w:sz w:val="22"/>
          <w:szCs w:val="22"/>
          <w:lang w:val="ro-MD"/>
        </w:rPr>
        <w:t>61.1</w:t>
      </w:r>
      <w:r w:rsidRPr="00E425C1">
        <w:rPr>
          <w:sz w:val="22"/>
          <w:szCs w:val="22"/>
          <w:lang w:val="ro-MD"/>
        </w:rPr>
        <w:tab/>
        <w:t xml:space="preserve">Perioada de răspundere pentru defecțiuni este definită ca fiind perioada care începe la data </w:t>
      </w:r>
      <w:r w:rsidR="00D2746A" w:rsidRPr="00E425C1">
        <w:rPr>
          <w:sz w:val="22"/>
          <w:szCs w:val="22"/>
          <w:lang w:val="ro-MD"/>
        </w:rPr>
        <w:t xml:space="preserve">recepției </w:t>
      </w:r>
      <w:r w:rsidRPr="00E425C1">
        <w:rPr>
          <w:sz w:val="22"/>
          <w:szCs w:val="22"/>
          <w:lang w:val="ro-MD"/>
        </w:rPr>
        <w:t xml:space="preserve">provizorii, în timpul căreia Antreprenorul este obligat să repare orice efect sau deteriorare a oricărei părți a lucrării care poate apărea sau poate </w:t>
      </w:r>
      <w:r w:rsidR="00D2746A" w:rsidRPr="00E425C1">
        <w:rPr>
          <w:sz w:val="22"/>
          <w:szCs w:val="22"/>
          <w:lang w:val="ro-MD"/>
        </w:rPr>
        <w:t>surveni î</w:t>
      </w:r>
      <w:r w:rsidRPr="00E425C1">
        <w:rPr>
          <w:sz w:val="22"/>
          <w:szCs w:val="22"/>
          <w:lang w:val="ro-MD"/>
        </w:rPr>
        <w:t xml:space="preserve">n această perioadă, astfel cum este notificat de către Supraveghetor sau Autoritatea Contractantă. Drepturile și obligațiile părților cu privire la acest termen de răspundere pentru vicii sunt prevăzute la articolul 61 din Condițiile </w:t>
      </w:r>
      <w:r w:rsidR="00D2746A" w:rsidRPr="00E425C1">
        <w:rPr>
          <w:sz w:val="22"/>
          <w:szCs w:val="22"/>
          <w:lang w:val="ro-MD"/>
        </w:rPr>
        <w:t>G</w:t>
      </w:r>
      <w:r w:rsidRPr="00E425C1">
        <w:rPr>
          <w:sz w:val="22"/>
          <w:szCs w:val="22"/>
          <w:lang w:val="ro-MD"/>
        </w:rPr>
        <w:t>enerale.</w:t>
      </w:r>
    </w:p>
    <w:p w:rsidR="004025F7" w:rsidRPr="00E425C1" w:rsidRDefault="004025F7" w:rsidP="004025F7">
      <w:pPr>
        <w:spacing w:before="240"/>
        <w:ind w:left="1276" w:hanging="1276"/>
        <w:jc w:val="both"/>
        <w:rPr>
          <w:b/>
          <w:szCs w:val="24"/>
          <w:lang w:val="ro-MD"/>
        </w:rPr>
      </w:pPr>
      <w:bookmarkStart w:id="28" w:name="_Toc76894451"/>
      <w:r w:rsidRPr="00E425C1">
        <w:rPr>
          <w:b/>
          <w:szCs w:val="24"/>
          <w:lang w:val="ro-MD"/>
        </w:rPr>
        <w:t>Articolul 68</w:t>
      </w:r>
      <w:r w:rsidRPr="00E425C1">
        <w:rPr>
          <w:b/>
          <w:szCs w:val="24"/>
          <w:lang w:val="ro-MD"/>
        </w:rPr>
        <w:tab/>
        <w:t>Soluționarea litigiilor</w:t>
      </w:r>
      <w:bookmarkEnd w:id="28"/>
    </w:p>
    <w:p w:rsidR="00062BAA" w:rsidRPr="00E425C1" w:rsidRDefault="004025F7" w:rsidP="00062BAA">
      <w:pPr>
        <w:autoSpaceDE w:val="0"/>
        <w:spacing w:before="120" w:after="120"/>
        <w:ind w:left="1276" w:hanging="709"/>
        <w:jc w:val="both"/>
        <w:rPr>
          <w:sz w:val="22"/>
          <w:szCs w:val="22"/>
          <w:lang w:val="ro-MD"/>
        </w:rPr>
      </w:pPr>
      <w:r w:rsidRPr="00E425C1">
        <w:rPr>
          <w:lang w:val="ro-MD"/>
        </w:rPr>
        <w:t>68.4</w:t>
      </w:r>
      <w:r w:rsidRPr="00E425C1">
        <w:rPr>
          <w:lang w:val="ro-MD"/>
        </w:rPr>
        <w:tab/>
      </w:r>
      <w:r w:rsidR="00062BAA" w:rsidRPr="00E425C1">
        <w:rPr>
          <w:sz w:val="22"/>
          <w:szCs w:val="22"/>
          <w:lang w:val="ro-MD"/>
        </w:rPr>
        <w:t>Orice litigiu care decurge din sau care se referă la prezentul Contract care nu poate fi soluționat în alt mod va fi supus jurisdicției exclusive a instanțelor din Republica Moldova în conformitate cu legislația națională a statului autorității contractante.</w:t>
      </w:r>
    </w:p>
    <w:p w:rsidR="004025F7" w:rsidRPr="00E425C1" w:rsidRDefault="004025F7" w:rsidP="004025F7">
      <w:pPr>
        <w:spacing w:before="360"/>
        <w:jc w:val="center"/>
        <w:rPr>
          <w:b/>
          <w:bCs/>
          <w:sz w:val="22"/>
          <w:szCs w:val="22"/>
          <w:lang w:val="ro-MD"/>
        </w:rPr>
      </w:pPr>
      <w:r w:rsidRPr="00E425C1">
        <w:rPr>
          <w:sz w:val="22"/>
          <w:szCs w:val="22"/>
          <w:lang w:val="ro-MD"/>
        </w:rPr>
        <w:t>* * *</w:t>
      </w:r>
    </w:p>
    <w:p w:rsidR="00961CF9" w:rsidRPr="00E425C1" w:rsidRDefault="004025F7">
      <w:pPr>
        <w:rPr>
          <w:lang w:val="ro-MD"/>
        </w:rPr>
      </w:pPr>
      <w:r w:rsidRPr="00E425C1">
        <w:rPr>
          <w:lang w:val="ro-MD"/>
        </w:rPr>
        <w:t xml:space="preserve"> </w:t>
      </w:r>
    </w:p>
    <w:sectPr w:rsidR="00961CF9" w:rsidRPr="00E425C1" w:rsidSect="00CA6498">
      <w:footerReference w:type="even" r:id="rId6"/>
      <w:footerReference w:type="default" r:id="rId7"/>
      <w:headerReference w:type="first" r:id="rId8"/>
      <w:footerReference w:type="first" r:id="rId9"/>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6B" w:rsidRDefault="00A6656B">
      <w:r>
        <w:separator/>
      </w:r>
    </w:p>
  </w:endnote>
  <w:endnote w:type="continuationSeparator" w:id="0">
    <w:p w:rsidR="00A6656B" w:rsidRDefault="00A6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ronSans Light">
    <w:altName w:val="HeronSans Ligh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4025F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95633" w:rsidRDefault="00A6656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Pr="00B3283E" w:rsidRDefault="004025F7" w:rsidP="00B3283E">
    <w:pPr>
      <w:pStyle w:val="a3"/>
      <w:tabs>
        <w:tab w:val="clear" w:pos="4320"/>
        <w:tab w:val="clear" w:pos="8640"/>
        <w:tab w:val="right" w:pos="9214"/>
      </w:tabs>
      <w:ind w:right="5"/>
      <w:rPr>
        <w:rStyle w:val="a7"/>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sidRPr="00B3283E">
      <w:rPr>
        <w:sz w:val="18"/>
        <w:szCs w:val="18"/>
      </w:rPr>
      <w:tab/>
    </w:r>
    <w:proofErr w:type="spellStart"/>
    <w:r w:rsidRPr="00B3283E">
      <w:rPr>
        <w:sz w:val="18"/>
        <w:szCs w:val="18"/>
      </w:rPr>
      <w:t>Pagină</w:t>
    </w:r>
    <w:proofErr w:type="spellEnd"/>
    <w:r w:rsidRPr="00B3283E">
      <w:rPr>
        <w:sz w:val="18"/>
        <w:szCs w:val="18"/>
      </w:rPr>
      <w:t xml:space="preserve"> </w:t>
    </w:r>
    <w:r w:rsidRPr="00B3283E">
      <w:rPr>
        <w:rStyle w:val="a7"/>
        <w:sz w:val="18"/>
        <w:szCs w:val="18"/>
      </w:rPr>
      <w:fldChar w:fldCharType="begin"/>
    </w:r>
    <w:r w:rsidRPr="00B3283E">
      <w:rPr>
        <w:rStyle w:val="a7"/>
        <w:sz w:val="18"/>
        <w:szCs w:val="18"/>
      </w:rPr>
      <w:instrText xml:space="preserve"> PAGE </w:instrText>
    </w:r>
    <w:r w:rsidRPr="00B3283E">
      <w:rPr>
        <w:rStyle w:val="a7"/>
        <w:sz w:val="18"/>
        <w:szCs w:val="18"/>
      </w:rPr>
      <w:fldChar w:fldCharType="separate"/>
    </w:r>
    <w:r w:rsidR="00422FF8">
      <w:rPr>
        <w:rStyle w:val="a7"/>
        <w:noProof/>
        <w:sz w:val="18"/>
        <w:szCs w:val="18"/>
      </w:rPr>
      <w:t>2</w:t>
    </w:r>
    <w:r w:rsidRPr="00B3283E">
      <w:rPr>
        <w:rStyle w:val="a7"/>
        <w:sz w:val="18"/>
        <w:szCs w:val="18"/>
      </w:rPr>
      <w:fldChar w:fldCharType="end"/>
    </w:r>
    <w:r w:rsidRPr="00B3283E">
      <w:rPr>
        <w:rStyle w:val="a7"/>
        <w:sz w:val="18"/>
        <w:szCs w:val="18"/>
      </w:rPr>
      <w:t xml:space="preserve"> de </w:t>
    </w:r>
    <w:r w:rsidRPr="00B3283E">
      <w:rPr>
        <w:rStyle w:val="a7"/>
        <w:sz w:val="18"/>
        <w:szCs w:val="18"/>
      </w:rPr>
      <w:fldChar w:fldCharType="begin"/>
    </w:r>
    <w:r w:rsidRPr="00B3283E">
      <w:rPr>
        <w:rStyle w:val="a7"/>
        <w:sz w:val="18"/>
        <w:szCs w:val="18"/>
      </w:rPr>
      <w:instrText xml:space="preserve"> NUMPAGES </w:instrText>
    </w:r>
    <w:r w:rsidRPr="00B3283E">
      <w:rPr>
        <w:rStyle w:val="a7"/>
        <w:sz w:val="18"/>
        <w:szCs w:val="18"/>
      </w:rPr>
      <w:fldChar w:fldCharType="separate"/>
    </w:r>
    <w:r w:rsidR="00422FF8">
      <w:rPr>
        <w:rStyle w:val="a7"/>
        <w:noProof/>
        <w:sz w:val="18"/>
        <w:szCs w:val="18"/>
      </w:rPr>
      <w:t>4</w:t>
    </w:r>
    <w:r w:rsidRPr="00B3283E">
      <w:rPr>
        <w:rStyle w:val="a7"/>
        <w:sz w:val="18"/>
        <w:szCs w:val="18"/>
      </w:rPr>
      <w:fldChar w:fldCharType="end"/>
    </w:r>
  </w:p>
  <w:p w:rsidR="00795633" w:rsidRPr="00B3283E" w:rsidRDefault="004025F7"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49" w:rsidRPr="009423FB" w:rsidRDefault="004025F7" w:rsidP="00F2670B">
    <w:pPr>
      <w:pStyle w:val="a3"/>
      <w:tabs>
        <w:tab w:val="clear" w:pos="4320"/>
        <w:tab w:val="clear" w:pos="8640"/>
        <w:tab w:val="right" w:pos="8931"/>
      </w:tabs>
      <w:ind w:right="6"/>
      <w:rPr>
        <w:rStyle w:val="a7"/>
        <w:sz w:val="18"/>
        <w:szCs w:val="18"/>
      </w:rPr>
    </w:pPr>
    <w:r>
      <w:rPr>
        <w:b/>
        <w:sz w:val="18"/>
        <w:szCs w:val="18"/>
      </w:rPr>
      <w:t>2015</w:t>
    </w:r>
    <w:r w:rsidRPr="009423FB">
      <w:rPr>
        <w:sz w:val="18"/>
        <w:szCs w:val="18"/>
      </w:rPr>
      <w:tab/>
    </w:r>
    <w:proofErr w:type="spellStart"/>
    <w:r w:rsidRPr="009423FB">
      <w:rPr>
        <w:rStyle w:val="a7"/>
        <w:sz w:val="18"/>
        <w:szCs w:val="18"/>
      </w:rPr>
      <w:t>Pagină</w:t>
    </w:r>
    <w:proofErr w:type="spellEnd"/>
    <w:r w:rsidRPr="009423FB">
      <w:rPr>
        <w:rStyle w:val="a7"/>
        <w:sz w:val="18"/>
        <w:szCs w:val="18"/>
      </w:rPr>
      <w:t xml:space="preserve"> </w:t>
    </w:r>
    <w:r w:rsidRPr="009423FB">
      <w:rPr>
        <w:rStyle w:val="a7"/>
        <w:sz w:val="18"/>
        <w:szCs w:val="18"/>
      </w:rPr>
      <w:fldChar w:fldCharType="begin"/>
    </w:r>
    <w:r w:rsidRPr="009423FB">
      <w:rPr>
        <w:rStyle w:val="a7"/>
        <w:sz w:val="18"/>
        <w:szCs w:val="18"/>
      </w:rPr>
      <w:instrText xml:space="preserve"> PAGE </w:instrText>
    </w:r>
    <w:r w:rsidRPr="009423FB">
      <w:rPr>
        <w:rStyle w:val="a7"/>
        <w:sz w:val="18"/>
        <w:szCs w:val="18"/>
      </w:rPr>
      <w:fldChar w:fldCharType="separate"/>
    </w:r>
    <w:r>
      <w:rPr>
        <w:rStyle w:val="a7"/>
        <w:noProof/>
        <w:sz w:val="18"/>
        <w:szCs w:val="18"/>
      </w:rPr>
      <w:t>1</w:t>
    </w:r>
    <w:r w:rsidRPr="009423FB">
      <w:rPr>
        <w:rStyle w:val="a7"/>
        <w:sz w:val="18"/>
        <w:szCs w:val="18"/>
      </w:rPr>
      <w:fldChar w:fldCharType="end"/>
    </w:r>
    <w:r w:rsidRPr="009423FB">
      <w:rPr>
        <w:rStyle w:val="a7"/>
        <w:sz w:val="18"/>
        <w:szCs w:val="18"/>
      </w:rPr>
      <w:t xml:space="preserve"> de </w:t>
    </w:r>
    <w:r w:rsidRPr="009423FB">
      <w:rPr>
        <w:rStyle w:val="a7"/>
        <w:sz w:val="18"/>
        <w:szCs w:val="18"/>
      </w:rPr>
      <w:fldChar w:fldCharType="begin"/>
    </w:r>
    <w:r w:rsidRPr="009423FB">
      <w:rPr>
        <w:rStyle w:val="a7"/>
        <w:sz w:val="18"/>
        <w:szCs w:val="18"/>
      </w:rPr>
      <w:instrText xml:space="preserve"> NUMPAGES </w:instrText>
    </w:r>
    <w:r w:rsidRPr="009423FB">
      <w:rPr>
        <w:rStyle w:val="a7"/>
        <w:sz w:val="18"/>
        <w:szCs w:val="18"/>
      </w:rPr>
      <w:fldChar w:fldCharType="separate"/>
    </w:r>
    <w:r>
      <w:rPr>
        <w:rStyle w:val="a7"/>
        <w:noProof/>
        <w:sz w:val="18"/>
        <w:szCs w:val="18"/>
      </w:rPr>
      <w:t>7</w:t>
    </w:r>
    <w:r w:rsidRPr="009423FB">
      <w:rPr>
        <w:rStyle w:val="a7"/>
        <w:sz w:val="18"/>
        <w:szCs w:val="18"/>
      </w:rPr>
      <w:fldChar w:fldCharType="end"/>
    </w:r>
  </w:p>
  <w:p w:rsidR="00795633" w:rsidRPr="00004B49" w:rsidRDefault="004025F7"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6B" w:rsidRDefault="00A6656B">
      <w:r>
        <w:separator/>
      </w:r>
    </w:p>
  </w:footnote>
  <w:footnote w:type="continuationSeparator" w:id="0">
    <w:p w:rsidR="00A6656B" w:rsidRDefault="00A66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4025F7" w:rsidP="0058294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95633" w:rsidRDefault="00A6656B" w:rsidP="00582940">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54"/>
    <w:rsid w:val="00062BAA"/>
    <w:rsid w:val="001828BB"/>
    <w:rsid w:val="002E6054"/>
    <w:rsid w:val="004025F7"/>
    <w:rsid w:val="00422FF8"/>
    <w:rsid w:val="004E61DC"/>
    <w:rsid w:val="00537B8C"/>
    <w:rsid w:val="00961CF9"/>
    <w:rsid w:val="00A6656B"/>
    <w:rsid w:val="00B3597F"/>
    <w:rsid w:val="00B43F5E"/>
    <w:rsid w:val="00BC54E0"/>
    <w:rsid w:val="00C30CB9"/>
    <w:rsid w:val="00C4115D"/>
    <w:rsid w:val="00D220C6"/>
    <w:rsid w:val="00D2746A"/>
    <w:rsid w:val="00DF4B70"/>
    <w:rsid w:val="00E425C1"/>
    <w:rsid w:val="00EF0A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5B7D"/>
  <w15:docId w15:val="{F2916C3D-5173-4E21-8E30-AAD7253F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F7"/>
    <w:pPr>
      <w:spacing w:after="0" w:line="240" w:lineRule="auto"/>
    </w:pPr>
    <w:rPr>
      <w:rFonts w:ascii="Times New Roman" w:eastAsia="Times New Roman" w:hAnsi="Times New Roman" w:cs="Times New Roman"/>
      <w:snapToGrid w:val="0"/>
      <w:sz w:val="24"/>
      <w:szCs w:val="20"/>
      <w:lang w:val="en-GB"/>
    </w:rPr>
  </w:style>
  <w:style w:type="paragraph" w:styleId="2">
    <w:name w:val="heading 2"/>
    <w:basedOn w:val="a"/>
    <w:next w:val="a"/>
    <w:link w:val="20"/>
    <w:qFormat/>
    <w:rsid w:val="004025F7"/>
    <w:pPr>
      <w:keepNext/>
      <w:ind w:left="1276" w:hanging="425"/>
      <w:jc w:val="both"/>
      <w:outlineLvl w:val="1"/>
    </w:pPr>
    <w:rPr>
      <w:rFonts w:ascii="Arial" w:hAnsi="Arial"/>
      <w:b/>
      <w:sz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25F7"/>
    <w:rPr>
      <w:rFonts w:ascii="Arial" w:eastAsia="Times New Roman" w:hAnsi="Arial" w:cs="Times New Roman"/>
      <w:b/>
      <w:snapToGrid w:val="0"/>
      <w:sz w:val="20"/>
      <w:szCs w:val="20"/>
      <w:lang w:val="fr-FR"/>
    </w:rPr>
  </w:style>
  <w:style w:type="paragraph" w:styleId="a3">
    <w:name w:val="footer"/>
    <w:basedOn w:val="a"/>
    <w:link w:val="a4"/>
    <w:rsid w:val="004025F7"/>
    <w:pPr>
      <w:tabs>
        <w:tab w:val="center" w:pos="4320"/>
        <w:tab w:val="right" w:pos="8640"/>
      </w:tabs>
    </w:pPr>
  </w:style>
  <w:style w:type="character" w:customStyle="1" w:styleId="a4">
    <w:name w:val="Нижний колонтитул Знак"/>
    <w:basedOn w:val="a0"/>
    <w:link w:val="a3"/>
    <w:rsid w:val="004025F7"/>
    <w:rPr>
      <w:rFonts w:ascii="Times New Roman" w:eastAsia="Times New Roman" w:hAnsi="Times New Roman" w:cs="Times New Roman"/>
      <w:snapToGrid w:val="0"/>
      <w:sz w:val="24"/>
      <w:szCs w:val="20"/>
      <w:lang w:val="en-GB"/>
    </w:rPr>
  </w:style>
  <w:style w:type="paragraph" w:styleId="a5">
    <w:name w:val="header"/>
    <w:basedOn w:val="a"/>
    <w:link w:val="a6"/>
    <w:rsid w:val="004025F7"/>
    <w:pPr>
      <w:tabs>
        <w:tab w:val="center" w:pos="4536"/>
        <w:tab w:val="right" w:pos="9072"/>
      </w:tabs>
    </w:pPr>
    <w:rPr>
      <w:rFonts w:ascii="Arial" w:hAnsi="Arial"/>
      <w:sz w:val="20"/>
    </w:rPr>
  </w:style>
  <w:style w:type="character" w:customStyle="1" w:styleId="a6">
    <w:name w:val="Верхний колонтитул Знак"/>
    <w:basedOn w:val="a0"/>
    <w:link w:val="a5"/>
    <w:rsid w:val="004025F7"/>
    <w:rPr>
      <w:rFonts w:ascii="Arial" w:eastAsia="Times New Roman" w:hAnsi="Arial" w:cs="Times New Roman"/>
      <w:snapToGrid w:val="0"/>
      <w:sz w:val="20"/>
      <w:szCs w:val="20"/>
      <w:lang w:val="en-GB"/>
    </w:rPr>
  </w:style>
  <w:style w:type="character" w:styleId="a7">
    <w:name w:val="page number"/>
    <w:basedOn w:val="a0"/>
    <w:rsid w:val="004025F7"/>
  </w:style>
  <w:style w:type="paragraph" w:styleId="a8">
    <w:name w:val="Subtitle"/>
    <w:basedOn w:val="a"/>
    <w:link w:val="a9"/>
    <w:qFormat/>
    <w:rsid w:val="004025F7"/>
    <w:pPr>
      <w:spacing w:before="120" w:after="120"/>
      <w:jc w:val="center"/>
    </w:pPr>
    <w:rPr>
      <w:rFonts w:ascii="Arial" w:hAnsi="Arial"/>
      <w:b/>
      <w:sz w:val="28"/>
      <w:lang w:val="fr-BE"/>
    </w:rPr>
  </w:style>
  <w:style w:type="character" w:customStyle="1" w:styleId="a9">
    <w:name w:val="Подзаголовок Знак"/>
    <w:basedOn w:val="a0"/>
    <w:link w:val="a8"/>
    <w:rsid w:val="004025F7"/>
    <w:rPr>
      <w:rFonts w:ascii="Arial" w:eastAsia="Times New Roman" w:hAnsi="Arial" w:cs="Times New Roman"/>
      <w:b/>
      <w:snapToGrid w:val="0"/>
      <w:sz w:val="28"/>
      <w:szCs w:val="20"/>
      <w:lang w:val="fr-BE"/>
    </w:rPr>
  </w:style>
  <w:style w:type="paragraph" w:styleId="aa">
    <w:name w:val="Title"/>
    <w:basedOn w:val="a"/>
    <w:link w:val="ab"/>
    <w:qFormat/>
    <w:rsid w:val="004025F7"/>
    <w:pPr>
      <w:spacing w:before="120" w:after="120"/>
      <w:jc w:val="center"/>
    </w:pPr>
    <w:rPr>
      <w:rFonts w:ascii="Arial" w:hAnsi="Arial"/>
      <w:b/>
      <w:sz w:val="28"/>
      <w:lang w:val="fr-BE"/>
    </w:rPr>
  </w:style>
  <w:style w:type="character" w:customStyle="1" w:styleId="ab">
    <w:name w:val="Заголовок Знак"/>
    <w:basedOn w:val="a0"/>
    <w:link w:val="aa"/>
    <w:rsid w:val="004025F7"/>
    <w:rPr>
      <w:rFonts w:ascii="Arial" w:eastAsia="Times New Roman" w:hAnsi="Arial" w:cs="Times New Roman"/>
      <w:b/>
      <w:snapToGrid w:val="0"/>
      <w:sz w:val="28"/>
      <w:szCs w:val="20"/>
      <w:lang w:val="fr-BE"/>
    </w:rPr>
  </w:style>
  <w:style w:type="character" w:customStyle="1" w:styleId="DefaultMargins">
    <w:name w:val="DefaultMargins"/>
    <w:rsid w:val="004025F7"/>
    <w:rPr>
      <w:rFonts w:ascii="Courier" w:hAnsi="Courier" w:cs="Courier"/>
      <w:sz w:val="24"/>
      <w:szCs w:val="24"/>
      <w:lang w:val="en-US"/>
    </w:rPr>
  </w:style>
  <w:style w:type="paragraph" w:styleId="ac">
    <w:name w:val="Balloon Text"/>
    <w:basedOn w:val="a"/>
    <w:link w:val="ad"/>
    <w:uiPriority w:val="99"/>
    <w:semiHidden/>
    <w:unhideWhenUsed/>
    <w:rsid w:val="00DF4B70"/>
    <w:rPr>
      <w:rFonts w:ascii="Tahoma" w:hAnsi="Tahoma" w:cs="Tahoma"/>
      <w:sz w:val="16"/>
      <w:szCs w:val="16"/>
    </w:rPr>
  </w:style>
  <w:style w:type="character" w:customStyle="1" w:styleId="ad">
    <w:name w:val="Текст выноски Знак"/>
    <w:basedOn w:val="a0"/>
    <w:link w:val="ac"/>
    <w:uiPriority w:val="99"/>
    <w:semiHidden/>
    <w:rsid w:val="00DF4B70"/>
    <w:rPr>
      <w:rFonts w:ascii="Tahoma" w:eastAsia="Times New Roman" w:hAnsi="Tahoma" w:cs="Tahoma"/>
      <w:snapToGrid w:val="0"/>
      <w:sz w:val="16"/>
      <w:szCs w:val="16"/>
      <w:lang w:val="en-GB"/>
    </w:rPr>
  </w:style>
  <w:style w:type="paragraph" w:styleId="HTML">
    <w:name w:val="HTML Preformatted"/>
    <w:basedOn w:val="a"/>
    <w:link w:val="HTML0"/>
    <w:uiPriority w:val="99"/>
    <w:unhideWhenUsed/>
    <w:rsid w:val="0053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ro-RO" w:eastAsia="ro-RO"/>
    </w:rPr>
  </w:style>
  <w:style w:type="character" w:customStyle="1" w:styleId="HTML0">
    <w:name w:val="Стандартный HTML Знак"/>
    <w:basedOn w:val="a0"/>
    <w:link w:val="HTML"/>
    <w:uiPriority w:val="99"/>
    <w:rsid w:val="00537B8C"/>
    <w:rPr>
      <w:rFonts w:ascii="Courier New" w:eastAsia="Times New Roman" w:hAnsi="Courier New" w:cs="Courier New"/>
      <w:sz w:val="20"/>
      <w:szCs w:val="20"/>
      <w:lang w:eastAsia="ro-RO"/>
    </w:rPr>
  </w:style>
  <w:style w:type="character" w:customStyle="1" w:styleId="A30">
    <w:name w:val="A3"/>
    <w:uiPriority w:val="99"/>
    <w:rsid w:val="00537B8C"/>
    <w:rPr>
      <w:rFonts w:cs="HeronSans Light"/>
      <w:color w:val="006BB7"/>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Elena</cp:lastModifiedBy>
  <cp:revision>3</cp:revision>
  <dcterms:created xsi:type="dcterms:W3CDTF">2022-08-08T07:42:00Z</dcterms:created>
  <dcterms:modified xsi:type="dcterms:W3CDTF">2022-08-08T07:43:00Z</dcterms:modified>
</cp:coreProperties>
</file>