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Default="00655AAC">
      <w:pPr>
        <w:jc w:val="center"/>
      </w:pPr>
    </w:p>
    <w:p w:rsidR="00655AAC" w:rsidRPr="00A508A9" w:rsidRDefault="00675D3D">
      <w:pPr>
        <w:jc w:val="center"/>
        <w:rPr>
          <w:rStyle w:val="StrongEmphasis"/>
          <w:sz w:val="28"/>
          <w:szCs w:val="28"/>
          <w:lang w:val="ro-MD"/>
        </w:rPr>
      </w:pPr>
      <w:r w:rsidRPr="00A508A9">
        <w:rPr>
          <w:b/>
          <w:sz w:val="28"/>
          <w:szCs w:val="28"/>
          <w:lang w:val="ro-MD"/>
        </w:rPr>
        <w:t>ANUNȚ CONTRACTUL DE SERVICII</w:t>
      </w:r>
    </w:p>
    <w:p w:rsidR="00611063" w:rsidRPr="00D12805" w:rsidRDefault="00675D3D" w:rsidP="00611063">
      <w:pPr>
        <w:pStyle w:val="PRAGHeading2"/>
        <w:numPr>
          <w:ilvl w:val="0"/>
          <w:numId w:val="0"/>
        </w:numPr>
        <w:jc w:val="center"/>
        <w:rPr>
          <w:b/>
          <w:szCs w:val="24"/>
          <w:lang w:val="ro-MD" w:eastAsia="ro-RO"/>
        </w:rPr>
      </w:pPr>
      <w:r w:rsidRPr="00A508A9">
        <w:rPr>
          <w:rStyle w:val="StrongEmphasis"/>
          <w:szCs w:val="24"/>
          <w:lang w:val="ro-MD"/>
        </w:rPr>
        <w:t>Titlul contractului</w:t>
      </w:r>
      <w:r w:rsidR="00A508A9" w:rsidRPr="00A508A9">
        <w:rPr>
          <w:rStyle w:val="StrongEmphasis"/>
          <w:szCs w:val="24"/>
          <w:lang w:val="ro-MD"/>
        </w:rPr>
        <w:t xml:space="preserve">: </w:t>
      </w:r>
      <w:r w:rsidR="001C3BAC" w:rsidRPr="00D12805">
        <w:rPr>
          <w:b/>
          <w:i/>
          <w:color w:val="000000"/>
          <w:lang w:val="ro-MD"/>
        </w:rPr>
        <w:t>Servicii de organizare a cursului de instruire pentru profesioniștii din domeniul sănătății în raionul Hîncești</w:t>
      </w:r>
      <w:r w:rsidR="001C3BAC" w:rsidRPr="00D12805">
        <w:rPr>
          <w:rStyle w:val="StrongEmphasis"/>
          <w:i/>
          <w:sz w:val="22"/>
          <w:szCs w:val="22"/>
          <w:lang w:val="ro-MD"/>
        </w:rPr>
        <w:t xml:space="preserve"> </w:t>
      </w:r>
      <w:r w:rsidR="001C3BAC" w:rsidRPr="00D12805">
        <w:rPr>
          <w:rStyle w:val="StrongEmphasis"/>
          <w:i/>
          <w:szCs w:val="24"/>
          <w:lang w:val="ro-MD"/>
        </w:rPr>
        <w:t xml:space="preserve">în cadrul proiectului </w:t>
      </w:r>
      <w:r w:rsidR="001C3BAC" w:rsidRPr="00D12805">
        <w:rPr>
          <w:b/>
          <w:i/>
          <w:szCs w:val="24"/>
          <w:lang w:val="ro-MD" w:eastAsia="ro-RO"/>
        </w:rPr>
        <w:t>„</w:t>
      </w:r>
      <w:r w:rsidR="00611063" w:rsidRPr="00D12805">
        <w:rPr>
          <w:b/>
          <w:szCs w:val="24"/>
          <w:lang w:val="ro-MD" w:eastAsia="ro-RO"/>
        </w:rPr>
        <w:t>Sănătatea în mâini bune – Spitale mai mari, îngrijire mai bună, cei mai buni doctori pentru populația din zona de graniță România – R. Moldova”, 1HARD/4.1 /24.</w:t>
      </w:r>
    </w:p>
    <w:p w:rsidR="001C3BAC" w:rsidRPr="00D12805" w:rsidRDefault="001C3BAC" w:rsidP="001C3BAC">
      <w:pPr>
        <w:jc w:val="center"/>
        <w:outlineLvl w:val="0"/>
        <w:rPr>
          <w:rStyle w:val="StrongEmphasis"/>
          <w:sz w:val="22"/>
          <w:szCs w:val="22"/>
          <w:lang w:val="ro-MD"/>
        </w:rPr>
      </w:pPr>
    </w:p>
    <w:p w:rsidR="00655AAC" w:rsidRPr="00A508A9" w:rsidRDefault="001C3BAC" w:rsidP="001C3BAC">
      <w:pPr>
        <w:outlineLvl w:val="0"/>
        <w:rPr>
          <w:sz w:val="22"/>
          <w:szCs w:val="22"/>
          <w:lang w:val="ro-MD"/>
        </w:rPr>
      </w:pPr>
      <w:r>
        <w:rPr>
          <w:rStyle w:val="StrongEmphasis"/>
          <w:sz w:val="22"/>
          <w:szCs w:val="22"/>
          <w:lang w:val="ro-MD"/>
        </w:rPr>
        <w:t xml:space="preserve">      </w:t>
      </w:r>
      <w:r w:rsidR="00675D3D" w:rsidRPr="00A508A9">
        <w:rPr>
          <w:rStyle w:val="StrongEmphasis"/>
          <w:sz w:val="22"/>
          <w:szCs w:val="22"/>
          <w:lang w:val="ro-MD"/>
        </w:rPr>
        <w:t>1.Referință</w:t>
      </w:r>
      <w:r w:rsidR="00675D3D" w:rsidRPr="00A508A9">
        <w:rPr>
          <w:rStyle w:val="StrongEmphasis"/>
          <w:sz w:val="22"/>
          <w:szCs w:val="22"/>
          <w:lang w:val="ro-MD"/>
        </w:rPr>
        <w:tab/>
      </w:r>
    </w:p>
    <w:p w:rsidR="00A508A9" w:rsidRPr="00A508A9" w:rsidRDefault="001C3BAC">
      <w:pPr>
        <w:ind w:left="709" w:hanging="349"/>
        <w:outlineLvl w:val="0"/>
        <w:rPr>
          <w:b/>
          <w:lang w:val="ro-MD"/>
        </w:rPr>
      </w:pPr>
      <w:r>
        <w:rPr>
          <w:b/>
          <w:lang w:val="ro-MD"/>
        </w:rPr>
        <w:t xml:space="preserve">ST </w:t>
      </w:r>
      <w:r w:rsidR="00A508A9" w:rsidRPr="00A508A9">
        <w:rPr>
          <w:b/>
          <w:lang w:val="ro-MD"/>
        </w:rPr>
        <w:t>5.4.</w:t>
      </w:r>
      <w:r>
        <w:rPr>
          <w:b/>
          <w:lang w:val="ro-MD"/>
        </w:rPr>
        <w:t>1</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rsidP="001C3BAC">
      <w:pPr>
        <w:pStyle w:val="Blockquote"/>
        <w:ind w:right="26"/>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A508A9">
      <w:pPr>
        <w:pStyle w:val="af2"/>
        <w:ind w:left="426"/>
        <w:jc w:val="both"/>
        <w:rPr>
          <w:sz w:val="22"/>
          <w:szCs w:val="22"/>
          <w:lang w:val="ro-MD"/>
        </w:rPr>
      </w:pPr>
      <w:r w:rsidRPr="00A508A9">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A508A9" w:rsidRPr="00A508A9" w:rsidRDefault="00A508A9" w:rsidP="00A508A9">
      <w:pPr>
        <w:ind w:left="426"/>
        <w:jc w:val="both"/>
        <w:rPr>
          <w:sz w:val="22"/>
          <w:szCs w:val="22"/>
          <w:lang w:val="ro-MD"/>
        </w:rPr>
      </w:pPr>
      <w:r w:rsidRPr="00A508A9">
        <w:rPr>
          <w:sz w:val="22"/>
          <w:szCs w:val="22"/>
          <w:lang w:val="ro-MD"/>
        </w:rPr>
        <w:t>Contract de grant 1HARD/4.1/24 din 01.07.2021.</w:t>
      </w: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A508A9">
      <w:pPr>
        <w:pStyle w:val="af2"/>
        <w:snapToGrid w:val="0"/>
        <w:ind w:left="426"/>
        <w:rPr>
          <w:b/>
          <w:sz w:val="22"/>
          <w:szCs w:val="22"/>
          <w:lang w:val="ro-MD"/>
        </w:rPr>
      </w:pPr>
      <w:r w:rsidRPr="00A508A9">
        <w:rPr>
          <w:b/>
          <w:sz w:val="22"/>
          <w:szCs w:val="22"/>
          <w:lang w:val="ro-MD"/>
        </w:rPr>
        <w:t xml:space="preserve">Consiliul Raional Hînceşti </w:t>
      </w:r>
    </w:p>
    <w:p w:rsidR="00A508A9" w:rsidRPr="00A508A9" w:rsidRDefault="00A508A9" w:rsidP="00A508A9">
      <w:pPr>
        <w:pStyle w:val="af2"/>
        <w:snapToGrid w:val="0"/>
        <w:ind w:left="426"/>
        <w:rPr>
          <w:sz w:val="22"/>
          <w:szCs w:val="22"/>
          <w:lang w:val="ro-MD"/>
        </w:rPr>
      </w:pPr>
    </w:p>
    <w:p w:rsidR="00A508A9" w:rsidRPr="00A508A9" w:rsidRDefault="00A508A9" w:rsidP="00A508A9">
      <w:pPr>
        <w:pStyle w:val="af2"/>
        <w:snapToGrid w:val="0"/>
        <w:ind w:left="426"/>
        <w:rPr>
          <w:sz w:val="22"/>
          <w:szCs w:val="22"/>
          <w:lang w:val="ro-MD"/>
        </w:rPr>
      </w:pPr>
      <w:r w:rsidRPr="00A508A9">
        <w:rPr>
          <w:sz w:val="22"/>
          <w:szCs w:val="22"/>
          <w:lang w:val="ro-MD"/>
        </w:rPr>
        <w:t>Republica Moldova, str. Mihalcea Hîncu nr.138, MD – 3401, municipiul Hînceşti, Raionul Hînceşti.</w:t>
      </w:r>
    </w:p>
    <w:p w:rsidR="00655AAC" w:rsidRPr="00A508A9" w:rsidRDefault="00655AAC">
      <w:pPr>
        <w:ind w:left="357" w:right="357"/>
        <w:jc w:val="both"/>
        <w:rPr>
          <w:i/>
          <w:sz w:val="22"/>
          <w:szCs w:val="22"/>
          <w:lang w:val="ro-MD"/>
        </w:rPr>
      </w:pP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Pr>
          <w:rStyle w:val="a3"/>
          <w:i w:val="0"/>
          <w:sz w:val="22"/>
          <w:szCs w:val="22"/>
          <w:highlight w:val="lightGray"/>
          <w:lang w:val="ro-MD"/>
        </w:rPr>
        <w:t>Preț forfetar.</w:t>
      </w:r>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A508A9" w:rsidRPr="00A508A9" w:rsidRDefault="00A508A9" w:rsidP="00A508A9">
      <w:pPr>
        <w:pStyle w:val="PRAGHeading2"/>
        <w:numPr>
          <w:ilvl w:val="0"/>
          <w:numId w:val="0"/>
        </w:numPr>
        <w:ind w:left="426"/>
        <w:jc w:val="both"/>
        <w:rPr>
          <w:szCs w:val="24"/>
          <w:lang w:val="ro-MD" w:eastAsia="ro-RO"/>
        </w:rPr>
      </w:pPr>
      <w:r w:rsidRPr="00A508A9">
        <w:rPr>
          <w:rStyle w:val="StrongEmphasis"/>
          <w:szCs w:val="24"/>
          <w:lang w:val="ro-MD"/>
        </w:rPr>
        <w:t xml:space="preserve">Obiectul prezentului contract este: Achiziționarea </w:t>
      </w:r>
      <w:r w:rsidR="001C3BAC">
        <w:rPr>
          <w:rStyle w:val="StrongEmphasis"/>
          <w:szCs w:val="24"/>
          <w:lang w:val="ro-MD"/>
        </w:rPr>
        <w:t>s</w:t>
      </w:r>
      <w:r w:rsidR="001C3BAC" w:rsidRPr="001C3BAC">
        <w:rPr>
          <w:rStyle w:val="StrongEmphasis"/>
          <w:szCs w:val="24"/>
          <w:lang w:val="ro-MD"/>
        </w:rPr>
        <w:t>ervicii</w:t>
      </w:r>
      <w:r w:rsidR="001C3BAC">
        <w:rPr>
          <w:rStyle w:val="StrongEmphasis"/>
          <w:szCs w:val="24"/>
          <w:lang w:val="ro-MD"/>
        </w:rPr>
        <w:t>lor</w:t>
      </w:r>
      <w:r w:rsidR="001C3BAC" w:rsidRPr="001C3BAC">
        <w:rPr>
          <w:rStyle w:val="StrongEmphasis"/>
          <w:szCs w:val="24"/>
          <w:lang w:val="ro-MD"/>
        </w:rPr>
        <w:t xml:space="preserve"> de organizare a cursului de instruire pentru profesioniștii din domeniul sănătății în raionul Hîncești</w:t>
      </w:r>
      <w:r w:rsidRPr="00A508A9">
        <w:rPr>
          <w:rStyle w:val="StrongEmphasis"/>
          <w:szCs w:val="24"/>
          <w:lang w:val="ro-MD"/>
        </w:rPr>
        <w:t xml:space="preserve"> </w:t>
      </w:r>
      <w:r w:rsidRPr="00A508A9">
        <w:rPr>
          <w:rStyle w:val="StrongEmphasis"/>
          <w:b w:val="0"/>
          <w:szCs w:val="24"/>
          <w:lang w:val="ro-MD"/>
        </w:rPr>
        <w:t xml:space="preserve">în cadrul proiectului </w:t>
      </w:r>
      <w:r w:rsidR="00611063">
        <w:rPr>
          <w:rStyle w:val="StrongEmphasis"/>
          <w:b w:val="0"/>
          <w:szCs w:val="24"/>
          <w:lang w:val="ro-MD"/>
        </w:rPr>
        <w:t>„</w:t>
      </w:r>
      <w:r w:rsidR="00611063" w:rsidRPr="007737B6">
        <w:rPr>
          <w:szCs w:val="24"/>
          <w:lang w:val="ro-MD" w:eastAsia="ro-RO"/>
        </w:rPr>
        <w:t>Sănătate</w:t>
      </w:r>
      <w:r w:rsidR="00611063">
        <w:rPr>
          <w:szCs w:val="24"/>
          <w:lang w:val="ro-MD" w:eastAsia="ro-RO"/>
        </w:rPr>
        <w:t>a</w:t>
      </w:r>
      <w:r w:rsidR="00611063" w:rsidRPr="007737B6">
        <w:rPr>
          <w:szCs w:val="24"/>
          <w:lang w:val="ro-MD" w:eastAsia="ro-RO"/>
        </w:rPr>
        <w:t xml:space="preserve"> în mâini bune – Spitale </w:t>
      </w:r>
      <w:r w:rsidR="00611063">
        <w:rPr>
          <w:szCs w:val="24"/>
          <w:lang w:val="ro-MD" w:eastAsia="ro-RO"/>
        </w:rPr>
        <w:t>mai m</w:t>
      </w:r>
      <w:r w:rsidR="00611063" w:rsidRPr="007737B6">
        <w:rPr>
          <w:szCs w:val="24"/>
          <w:lang w:val="ro-MD" w:eastAsia="ro-RO"/>
        </w:rPr>
        <w:t xml:space="preserve">ari, </w:t>
      </w:r>
      <w:r w:rsidR="00611063">
        <w:rPr>
          <w:szCs w:val="24"/>
          <w:lang w:val="ro-MD" w:eastAsia="ro-RO"/>
        </w:rPr>
        <w:t>î</w:t>
      </w:r>
      <w:r w:rsidR="00611063" w:rsidRPr="007737B6">
        <w:rPr>
          <w:szCs w:val="24"/>
          <w:lang w:val="ro-MD" w:eastAsia="ro-RO"/>
        </w:rPr>
        <w:t>ngrijir</w:t>
      </w:r>
      <w:r w:rsidR="00611063">
        <w:rPr>
          <w:szCs w:val="24"/>
          <w:lang w:val="ro-MD" w:eastAsia="ro-RO"/>
        </w:rPr>
        <w:t>e</w:t>
      </w:r>
      <w:r w:rsidR="00611063" w:rsidRPr="007737B6">
        <w:rPr>
          <w:szCs w:val="24"/>
          <w:lang w:val="ro-MD" w:eastAsia="ro-RO"/>
        </w:rPr>
        <w:t xml:space="preserve"> </w:t>
      </w:r>
      <w:r w:rsidR="00611063">
        <w:rPr>
          <w:szCs w:val="24"/>
          <w:lang w:val="ro-MD" w:eastAsia="ro-RO"/>
        </w:rPr>
        <w:t>m</w:t>
      </w:r>
      <w:r w:rsidR="00611063" w:rsidRPr="007737B6">
        <w:rPr>
          <w:szCs w:val="24"/>
          <w:lang w:val="ro-MD" w:eastAsia="ro-RO"/>
        </w:rPr>
        <w:t>ai bun</w:t>
      </w:r>
      <w:r w:rsidR="00611063">
        <w:rPr>
          <w:szCs w:val="24"/>
          <w:lang w:val="ro-MD" w:eastAsia="ro-RO"/>
        </w:rPr>
        <w:t>ă</w:t>
      </w:r>
      <w:r w:rsidR="00611063" w:rsidRPr="007737B6">
        <w:rPr>
          <w:szCs w:val="24"/>
          <w:lang w:val="ro-MD" w:eastAsia="ro-RO"/>
        </w:rPr>
        <w:t xml:space="preserve">, </w:t>
      </w:r>
      <w:r w:rsidR="00611063">
        <w:rPr>
          <w:szCs w:val="24"/>
          <w:lang w:val="ro-MD" w:eastAsia="ro-RO"/>
        </w:rPr>
        <w:t xml:space="preserve">cei mai buni doctori </w:t>
      </w:r>
      <w:r w:rsidR="00611063" w:rsidRPr="007737B6">
        <w:rPr>
          <w:szCs w:val="24"/>
          <w:lang w:val="ro-MD" w:eastAsia="ro-RO"/>
        </w:rPr>
        <w:t>pentru p</w:t>
      </w:r>
      <w:r w:rsidR="00611063">
        <w:rPr>
          <w:szCs w:val="24"/>
          <w:lang w:val="ro-MD" w:eastAsia="ro-RO"/>
        </w:rPr>
        <w:t>opulația</w:t>
      </w:r>
      <w:r w:rsidR="00611063" w:rsidRPr="007737B6">
        <w:rPr>
          <w:szCs w:val="24"/>
          <w:lang w:val="ro-MD" w:eastAsia="ro-RO"/>
        </w:rPr>
        <w:t xml:space="preserve"> din zona de </w:t>
      </w:r>
      <w:r w:rsidR="00611063">
        <w:rPr>
          <w:szCs w:val="24"/>
          <w:lang w:val="ro-MD" w:eastAsia="ro-RO"/>
        </w:rPr>
        <w:t>graniță</w:t>
      </w:r>
      <w:r w:rsidR="00611063" w:rsidRPr="007737B6">
        <w:rPr>
          <w:szCs w:val="24"/>
          <w:lang w:val="ro-MD" w:eastAsia="ro-RO"/>
        </w:rPr>
        <w:t xml:space="preserve"> România – R. Moldova”, 1HARD/4.1 /24.</w:t>
      </w:r>
    </w:p>
    <w:p w:rsidR="00655AAC" w:rsidRPr="00A508A9" w:rsidRDefault="00675D3D">
      <w:pPr>
        <w:ind w:left="709" w:hanging="349"/>
        <w:outlineLvl w:val="0"/>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A508A9">
      <w:pPr>
        <w:ind w:left="709" w:hanging="349"/>
        <w:outlineLvl w:val="0"/>
        <w:rPr>
          <w:rStyle w:val="a3"/>
          <w:i w:val="0"/>
          <w:sz w:val="22"/>
          <w:szCs w:val="22"/>
          <w:lang w:val="ro-MD"/>
        </w:rPr>
      </w:pPr>
      <w:r w:rsidRPr="00A508A9">
        <w:rPr>
          <w:rStyle w:val="a3"/>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CF5269" w:rsidRDefault="00A508A9">
      <w:pPr>
        <w:pStyle w:val="Blockquote"/>
        <w:jc w:val="both"/>
        <w:rPr>
          <w:i/>
          <w:szCs w:val="24"/>
          <w:u w:val="single"/>
          <w:lang w:val="ro-MD" w:eastAsia="ro-RO"/>
        </w:rPr>
      </w:pPr>
      <w:r w:rsidRPr="00CF5269">
        <w:rPr>
          <w:i/>
          <w:szCs w:val="24"/>
          <w:u w:val="single"/>
          <w:lang w:val="ro-MD" w:eastAsia="ro-RO"/>
        </w:rPr>
        <w:t xml:space="preserve">5 </w:t>
      </w:r>
      <w:r w:rsidR="001C3BAC" w:rsidRPr="00CF5269">
        <w:rPr>
          <w:i/>
          <w:szCs w:val="24"/>
          <w:u w:val="single"/>
          <w:lang w:val="ro-MD" w:eastAsia="ro-RO"/>
        </w:rPr>
        <w:t xml:space="preserve"> 050</w:t>
      </w:r>
      <w:r w:rsidRPr="00CF5269">
        <w:rPr>
          <w:i/>
          <w:szCs w:val="24"/>
          <w:u w:val="single"/>
          <w:lang w:val="ro-MD" w:eastAsia="ro-RO"/>
        </w:rPr>
        <w:t xml:space="preserve">,00 Euro(Cinci mii </w:t>
      </w:r>
      <w:r w:rsidR="001C3BAC" w:rsidRPr="00CF5269">
        <w:rPr>
          <w:i/>
          <w:szCs w:val="24"/>
          <w:u w:val="single"/>
          <w:lang w:val="ro-MD" w:eastAsia="ro-RO"/>
        </w:rPr>
        <w:t>cinci</w:t>
      </w:r>
      <w:r w:rsidRPr="00CF5269">
        <w:rPr>
          <w:i/>
          <w:szCs w:val="24"/>
          <w:u w:val="single"/>
          <w:lang w:val="ro-MD" w:eastAsia="ro-RO"/>
        </w:rPr>
        <w:t>zec</w:t>
      </w:r>
      <w:r w:rsidR="001C3BAC" w:rsidRPr="00CF5269">
        <w:rPr>
          <w:i/>
          <w:szCs w:val="24"/>
          <w:u w:val="single"/>
          <w:lang w:val="ro-MD" w:eastAsia="ro-RO"/>
        </w:rPr>
        <w:t>i</w:t>
      </w:r>
      <w:r w:rsidRPr="00CF5269">
        <w:rPr>
          <w:i/>
          <w:szCs w:val="24"/>
          <w:u w:val="single"/>
          <w:lang w:val="ro-MD" w:eastAsia="ro-RO"/>
        </w:rPr>
        <w:t xml:space="preserve"> Euro)</w:t>
      </w:r>
    </w:p>
    <w:p w:rsidR="00655AAC" w:rsidRPr="00A508A9" w:rsidRDefault="00675D3D">
      <w:pPr>
        <w:pStyle w:val="Blockquote"/>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CONDIȚII DE PARTICIPARE</w:t>
      </w:r>
    </w:p>
    <w:p w:rsidR="00655AAC" w:rsidRPr="00A508A9" w:rsidRDefault="00675D3D">
      <w:pPr>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A508A9" w:rsidRDefault="00675D3D">
      <w:pPr>
        <w:widowControl/>
        <w:spacing w:before="360" w:after="360"/>
        <w:ind w:left="426"/>
        <w:jc w:val="both"/>
        <w:rPr>
          <w:lang w:val="ro-MD"/>
        </w:rPr>
      </w:pPr>
      <w:r w:rsidRPr="00A508A9">
        <w:rPr>
          <w:sz w:val="22"/>
          <w:szCs w:val="22"/>
          <w:lang w:val="ro-MD"/>
        </w:rPr>
        <w:lastRenderedPageBreak/>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0" w:name="_DV_M201"/>
      <w:bookmarkEnd w:id="0"/>
      <w:r w:rsidRPr="00A508A9">
        <w:rPr>
          <w:rFonts w:eastAsia="Calibri" w:cs="Arial"/>
          <w:szCs w:val="24"/>
          <w:lang w:val="ro-MD" w:eastAsia="en-US"/>
        </w:rPr>
        <w:t>Cu toate acestea, ele pot proveni din orice țară când</w:t>
      </w:r>
      <w:bookmarkStart w:id="1" w:name="_DV_C321"/>
      <w:r w:rsidRPr="00A508A9">
        <w:rPr>
          <w:rFonts w:eastAsia="Calibri" w:cs="Arial"/>
          <w:color w:val="000000"/>
          <w:szCs w:val="24"/>
          <w:lang w:val="ro-MD" w:eastAsia="en-US"/>
        </w:rPr>
        <w:t xml:space="preserve"> valoarea bunurilor care urmează să fie achiziționate este sub 100.000 de euro pe achiziție</w:t>
      </w:r>
      <w:bookmarkEnd w:id="1"/>
      <w:r w:rsidR="00BC4A16">
        <w:rPr>
          <w:rFonts w:eastAsia="Calibri" w:cs="Arial"/>
          <w:szCs w:val="24"/>
          <w:lang w:val="ro-MD" w:eastAsia="en-US"/>
        </w:rPr>
        <w:t>.</w:t>
      </w:r>
      <w:r w:rsidRPr="00A508A9">
        <w:rPr>
          <w:rFonts w:eastAsia="Calibri" w:cs="Arial"/>
          <w:szCs w:val="24"/>
          <w:lang w:val="ro-MD" w:eastAsia="en-US"/>
        </w:rPr>
        <w:t xml:space="preserve"> </w:t>
      </w:r>
      <w:r w:rsidRPr="00A508A9">
        <w:rPr>
          <w:sz w:val="22"/>
          <w:szCs w:val="22"/>
          <w:lang w:val="ro-MD"/>
        </w:rPr>
        <w:t xml:space="preserve"> </w:t>
      </w:r>
    </w:p>
    <w:p w:rsidR="00655AAC" w:rsidRPr="00A508A9" w:rsidRDefault="00A508A9" w:rsidP="00A508A9">
      <w:pPr>
        <w:pStyle w:val="Blockquote"/>
        <w:ind w:left="426" w:right="0"/>
        <w:jc w:val="both"/>
        <w:rPr>
          <w:szCs w:val="22"/>
          <w:lang w:val="ro-MD"/>
        </w:rPr>
      </w:pPr>
      <w:r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a3"/>
          <w:i w:val="0"/>
          <w:sz w:val="22"/>
          <w:szCs w:val="22"/>
          <w:lang w:val="ro-MD"/>
        </w:rPr>
      </w:pPr>
      <w:r w:rsidRPr="00A508A9">
        <w:rPr>
          <w:rStyle w:val="a3"/>
          <w:i w:val="0"/>
          <w:sz w:val="22"/>
          <w:szCs w:val="22"/>
          <w:lang w:val="ro-MD"/>
        </w:rPr>
        <w:t>Este permisă subcontractarea.</w:t>
      </w:r>
    </w:p>
    <w:p w:rsidR="00655AAC" w:rsidRPr="00A508A9" w:rsidRDefault="00675D3D">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A508A9">
      <w:pPr>
        <w:pStyle w:val="Blockquote"/>
        <w:jc w:val="both"/>
        <w:rPr>
          <w:i/>
          <w:sz w:val="22"/>
          <w:szCs w:val="22"/>
          <w:lang w:val="ro-MD"/>
        </w:rPr>
      </w:pPr>
      <w:r>
        <w:rPr>
          <w:rStyle w:val="a3"/>
          <w:i w:val="0"/>
          <w:sz w:val="22"/>
          <w:szCs w:val="22"/>
          <w:lang w:val="ro-MD"/>
        </w:rPr>
        <w:t>1</w:t>
      </w:r>
      <w:r w:rsidR="001C3BAC">
        <w:rPr>
          <w:rStyle w:val="a3"/>
          <w:i w:val="0"/>
          <w:sz w:val="22"/>
          <w:szCs w:val="22"/>
          <w:lang w:val="ro-MD"/>
        </w:rPr>
        <w:t>0</w:t>
      </w:r>
      <w:r>
        <w:rPr>
          <w:rStyle w:val="a3"/>
          <w:i w:val="0"/>
          <w:sz w:val="22"/>
          <w:szCs w:val="22"/>
          <w:lang w:val="ro-MD"/>
        </w:rPr>
        <w:t>.0</w:t>
      </w:r>
      <w:r w:rsidR="001C3BAC">
        <w:rPr>
          <w:rStyle w:val="a3"/>
          <w:i w:val="0"/>
          <w:sz w:val="22"/>
          <w:szCs w:val="22"/>
          <w:lang w:val="ro-MD"/>
        </w:rPr>
        <w:t>5</w:t>
      </w:r>
      <w:r>
        <w:rPr>
          <w:rStyle w:val="a3"/>
          <w:i w:val="0"/>
          <w:sz w:val="22"/>
          <w:szCs w:val="22"/>
          <w:lang w:val="ro-MD"/>
        </w:rPr>
        <w:t>.2022.</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837D35">
      <w:pPr>
        <w:pStyle w:val="Blockquote"/>
        <w:jc w:val="both"/>
        <w:rPr>
          <w:i/>
          <w:sz w:val="22"/>
          <w:szCs w:val="22"/>
          <w:lang w:val="ro-MD"/>
        </w:rPr>
      </w:pPr>
      <w:r>
        <w:rPr>
          <w:rStyle w:val="a3"/>
          <w:i w:val="0"/>
          <w:sz w:val="22"/>
          <w:szCs w:val="22"/>
          <w:lang w:val="ro-MD"/>
        </w:rPr>
        <w:t>10</w:t>
      </w:r>
      <w:r w:rsidR="00A508A9">
        <w:rPr>
          <w:rStyle w:val="a3"/>
          <w:i w:val="0"/>
          <w:sz w:val="22"/>
          <w:szCs w:val="22"/>
          <w:lang w:val="ro-MD"/>
        </w:rPr>
        <w:t>.0</w:t>
      </w:r>
      <w:r w:rsidR="001C3BAC">
        <w:rPr>
          <w:rStyle w:val="a3"/>
          <w:i w:val="0"/>
          <w:sz w:val="22"/>
          <w:szCs w:val="22"/>
          <w:lang w:val="ro-MD"/>
        </w:rPr>
        <w:t>5</w:t>
      </w:r>
      <w:r w:rsidR="00A508A9">
        <w:rPr>
          <w:rStyle w:val="a3"/>
          <w:i w:val="0"/>
          <w:sz w:val="22"/>
          <w:szCs w:val="22"/>
          <w:lang w:val="ro-MD"/>
        </w:rPr>
        <w:t xml:space="preserve">.2022- </w:t>
      </w:r>
      <w:r>
        <w:rPr>
          <w:rStyle w:val="a3"/>
          <w:i w:val="0"/>
          <w:sz w:val="22"/>
          <w:szCs w:val="22"/>
          <w:lang w:val="ro-MD"/>
        </w:rPr>
        <w:t>31</w:t>
      </w:r>
      <w:r w:rsidR="001C3BAC">
        <w:rPr>
          <w:rStyle w:val="a3"/>
          <w:i w:val="0"/>
          <w:sz w:val="22"/>
          <w:szCs w:val="22"/>
          <w:lang w:val="ro-MD"/>
        </w:rPr>
        <w:t>.05</w:t>
      </w:r>
      <w:r w:rsidR="00A508A9">
        <w:rPr>
          <w:rStyle w:val="a3"/>
          <w:i w:val="0"/>
          <w:sz w:val="22"/>
          <w:szCs w:val="22"/>
          <w:lang w:val="ro-MD"/>
        </w:rPr>
        <w:t>.2022 (poate fi modificată)</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1) Capacitatea economi</w:t>
      </w:r>
      <w:r w:rsidR="00611063">
        <w:rPr>
          <w:b/>
          <w:sz w:val="22"/>
          <w:szCs w:val="22"/>
          <w:u w:val="single"/>
          <w:lang w:val="ro-MD"/>
        </w:rPr>
        <w:t>că și financiară a ofertantului</w:t>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Capacitatea profesională a ofertantului (</w:t>
      </w:r>
      <w:r w:rsidRPr="00A508A9">
        <w:rPr>
          <w:sz w:val="22"/>
          <w:szCs w:val="22"/>
          <w:lang w:val="ro-MD"/>
        </w:rPr>
        <w:t>pe baza punctelor 4 din formularul de ofertă).</w:t>
      </w:r>
    </w:p>
    <w:p w:rsidR="00655AAC" w:rsidRDefault="00675D3D">
      <w:pPr>
        <w:pStyle w:val="Blockquote"/>
        <w:ind w:right="357" w:hanging="3"/>
        <w:jc w:val="both"/>
        <w:rPr>
          <w:sz w:val="22"/>
          <w:szCs w:val="22"/>
          <w:lang w:val="ro-MD"/>
        </w:rPr>
      </w:pPr>
      <w:r w:rsidRPr="00A508A9">
        <w:rPr>
          <w:sz w:val="22"/>
          <w:szCs w:val="22"/>
          <w:lang w:val="ro-MD"/>
        </w:rPr>
        <w:lastRenderedPageBreak/>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A508A9"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are un certificat profesi</w:t>
      </w:r>
      <w:r w:rsidR="00E4316D">
        <w:rPr>
          <w:sz w:val="22"/>
          <w:szCs w:val="22"/>
          <w:lang w:val="ro-MD"/>
        </w:rPr>
        <w:t>onal adecvat acestui contract</w:t>
      </w:r>
      <w:r w:rsidRPr="00A508A9">
        <w:rPr>
          <w:sz w:val="22"/>
          <w:szCs w:val="22"/>
          <w:lang w:val="ro-MD"/>
        </w:rPr>
        <w:t>;</w:t>
      </w:r>
    </w:p>
    <w:p w:rsidR="00655AAC" w:rsidRPr="00E4316D"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 xml:space="preserve">ferente prezentului contract;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Documente necesare de a fi prezentate: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Oferta tehnică și financiară (Partea B_Anexa III)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pPr>
        <w:pStyle w:val="Blockquote"/>
        <w:ind w:left="720" w:right="357"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(pe baza punctelor 5 și 6 din formularul de ofertă). Perioada de referință care va fi luată în considerare va fi ultima</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655AAC" w:rsidRPr="00AD1CD0" w:rsidRDefault="00675D3D" w:rsidP="00AD1CD0">
      <w:pPr>
        <w:pStyle w:val="Blockquote"/>
        <w:numPr>
          <w:ilvl w:val="0"/>
          <w:numId w:val="6"/>
        </w:numPr>
        <w:tabs>
          <w:tab w:val="left" w:pos="709"/>
        </w:tabs>
        <w:ind w:left="709" w:hanging="283"/>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001C3BAC">
        <w:rPr>
          <w:sz w:val="22"/>
          <w:szCs w:val="22"/>
          <w:lang w:val="ro-MD"/>
        </w:rPr>
        <w:t>(</w:t>
      </w:r>
      <w:r w:rsidR="00CF5269">
        <w:rPr>
          <w:sz w:val="22"/>
          <w:szCs w:val="22"/>
          <w:lang w:val="ro-MD"/>
        </w:rPr>
        <w:t>prezintă</w:t>
      </w:r>
      <w:r w:rsidR="001C3BAC">
        <w:rPr>
          <w:sz w:val="22"/>
          <w:szCs w:val="22"/>
          <w:lang w:val="ro-MD"/>
        </w:rPr>
        <w:t xml:space="preserve"> un avantaj)</w:t>
      </w:r>
      <w:r w:rsidRPr="00A508A9">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Termenul limită de primire a ofertelor </w:t>
      </w:r>
      <w:r w:rsidRPr="001C3BAC">
        <w:rPr>
          <w:rStyle w:val="a3"/>
          <w:b/>
          <w:i w:val="0"/>
          <w:sz w:val="22"/>
          <w:szCs w:val="22"/>
          <w:lang w:val="ro-MD"/>
        </w:rPr>
        <w:t xml:space="preserve">este </w:t>
      </w:r>
      <w:r w:rsidR="009C3B76">
        <w:rPr>
          <w:rStyle w:val="a3"/>
          <w:b/>
          <w:i w:val="0"/>
          <w:sz w:val="22"/>
          <w:szCs w:val="22"/>
          <w:u w:val="single"/>
          <w:lang w:val="ro-MD"/>
        </w:rPr>
        <w:t>29.04</w:t>
      </w:r>
      <w:bookmarkStart w:id="2" w:name="_GoBack"/>
      <w:bookmarkEnd w:id="2"/>
      <w:r w:rsidR="00F579DB">
        <w:rPr>
          <w:rStyle w:val="a3"/>
          <w:b/>
          <w:i w:val="0"/>
          <w:sz w:val="22"/>
          <w:szCs w:val="22"/>
          <w:u w:val="single"/>
          <w:lang w:val="ro-MD"/>
        </w:rPr>
        <w:t>.</w:t>
      </w:r>
      <w:r w:rsidR="00CD05DA" w:rsidRPr="001C3BAC">
        <w:rPr>
          <w:b/>
          <w:sz w:val="22"/>
          <w:szCs w:val="22"/>
          <w:u w:val="single"/>
          <w:lang w:val="ro-MD"/>
        </w:rPr>
        <w:t>2022, ora 1</w:t>
      </w:r>
      <w:r w:rsidR="001C3BAC" w:rsidRPr="001C3BAC">
        <w:rPr>
          <w:b/>
          <w:sz w:val="22"/>
          <w:szCs w:val="22"/>
          <w:u w:val="single"/>
          <w:lang w:val="ro-MD"/>
        </w:rPr>
        <w:t>7</w:t>
      </w:r>
      <w:r w:rsidR="00CD05DA" w:rsidRPr="001C3BAC">
        <w:rPr>
          <w:b/>
          <w:sz w:val="22"/>
          <w:szCs w:val="22"/>
          <w:u w:val="single"/>
          <w:lang w:val="ro-MD"/>
        </w:rPr>
        <w:t>:00</w:t>
      </w:r>
      <w:r w:rsidR="00CD05DA">
        <w:rPr>
          <w:b/>
          <w:sz w:val="22"/>
          <w:szCs w:val="22"/>
          <w:lang w:val="ro-MD"/>
        </w:rPr>
        <w:t xml:space="preserve">(ora locală), </w:t>
      </w:r>
      <w:r w:rsidRPr="00A508A9">
        <w:rPr>
          <w:rStyle w:val="a3"/>
          <w:i w:val="0"/>
          <w:sz w:val="22"/>
          <w:szCs w:val="22"/>
          <w:lang w:val="ro-MD"/>
        </w:rPr>
        <w:t xml:space="preserve">specificat </w:t>
      </w:r>
      <w:r w:rsidR="00CD05DA">
        <w:rPr>
          <w:rStyle w:val="a3"/>
          <w:i w:val="0"/>
          <w:sz w:val="22"/>
          <w:szCs w:val="22"/>
          <w:lang w:val="ro-MD"/>
        </w:rPr>
        <w:t xml:space="preserve">și </w:t>
      </w:r>
      <w:r w:rsidRPr="00A508A9">
        <w:rPr>
          <w:rStyle w:val="a3"/>
          <w:i w:val="0"/>
          <w:sz w:val="22"/>
          <w:szCs w:val="22"/>
          <w:lang w:val="ro-MD"/>
        </w:rPr>
        <w:t>la punctul 8 din Instrucțiunea pentru ofertanți.</w:t>
      </w:r>
      <w:r w:rsidRPr="00A508A9">
        <w:rPr>
          <w:rStyle w:val="a3"/>
          <w:i w:val="0"/>
          <w:sz w:val="22"/>
          <w:szCs w:val="22"/>
          <w:highlight w:val="yellow"/>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pentru Proceduri Negociate Competitive, al căror format și instrucțiuni trebuie respectate cu strictețe. Formularul de ofertă este disponibil la următoarea adresă de internet:</w:t>
      </w:r>
      <w:hyperlink r:id="rId7">
        <w:r w:rsidRPr="00A508A9">
          <w:rPr>
            <w:rStyle w:val="a4"/>
            <w:sz w:val="22"/>
            <w:szCs w:val="22"/>
            <w:lang w:val="ro-MD"/>
          </w:rPr>
          <w:t>http://ec.europa.eu/europeaid/prag/annexes.do?group=B</w:t>
        </w:r>
      </w:hyperlink>
      <w:r w:rsidRPr="00A508A9">
        <w:rPr>
          <w:sz w:val="22"/>
          <w:szCs w:val="22"/>
          <w:lang w:val="ro-MD"/>
        </w:rPr>
        <w:t xml:space="preserve"> , sub fișierul zip numit Dosar licitație simplificată. </w:t>
      </w:r>
    </w:p>
    <w:p w:rsidR="00655AAC" w:rsidRPr="00A508A9" w:rsidRDefault="00675D3D">
      <w:pPr>
        <w:pStyle w:val="Blockquote"/>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r w:rsidRPr="00A508A9">
        <w:rPr>
          <w:sz w:val="22"/>
          <w:szCs w:val="22"/>
          <w:lang w:val="ro-MD"/>
        </w:rPr>
        <w:t>http://ec.europa.eu/europeaid/prag/annexes.do?chapterTitleCode=A</w:t>
      </w:r>
    </w:p>
    <w:p w:rsidR="00655AAC" w:rsidRPr="00A508A9" w:rsidRDefault="00675D3D">
      <w:pPr>
        <w:pStyle w:val="Blockquote"/>
        <w:jc w:val="both"/>
        <w:rPr>
          <w:lang w:val="ro-MD"/>
        </w:rPr>
      </w:pPr>
      <w:r w:rsidRPr="00A508A9">
        <w:rPr>
          <w:sz w:val="22"/>
          <w:szCs w:val="22"/>
          <w:lang w:val="ro-MD"/>
        </w:rPr>
        <w:lastRenderedPageBreak/>
        <w:t>Orice documentație suplimentară (broșură, scrisoare, etc.) trimisă cu o ofertă nu va fi luată în considerare.</w:t>
      </w: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CD05DA" w:rsidRDefault="00CD05DA">
      <w:pPr>
        <w:pStyle w:val="Blockquote"/>
        <w:jc w:val="both"/>
      </w:pPr>
      <w:r w:rsidRPr="00574595">
        <w:rPr>
          <w:sz w:val="22"/>
          <w:szCs w:val="22"/>
          <w:lang w:val="ro-MD"/>
        </w:rPr>
        <w:t xml:space="preserve">Dosarul de licitație este disponibil la următoarea adresă de internet: </w:t>
      </w:r>
      <w:hyperlink r:id="rId8" w:history="1">
        <w:r w:rsidR="009E7982" w:rsidRPr="00545D4C">
          <w:rPr>
            <w:rStyle w:val="a4"/>
          </w:rPr>
          <w:t>https://hincesti.md/2021/11/23/proiectul-sanatatea-in-maini-bune-1hard-4-1-24/</w:t>
        </w:r>
      </w:hyperlink>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hyperlink r:id="rId9" w:history="1">
        <w:r w:rsidRPr="00545D4C">
          <w:rPr>
            <w:rStyle w:val="a4"/>
            <w:lang w:val="ro-MD"/>
          </w:rPr>
          <w:t>proiectcshincesti@gmail.com</w:t>
        </w:r>
      </w:hyperlink>
    </w:p>
    <w:p w:rsidR="009E7982" w:rsidRDefault="009E7982" w:rsidP="009E7982">
      <w:pPr>
        <w:pStyle w:val="Blockquote"/>
        <w:jc w:val="both"/>
        <w:rPr>
          <w:lang w:val="ro-MD"/>
        </w:rPr>
      </w:pPr>
      <w:r w:rsidRPr="00CD05DA">
        <w:rPr>
          <w:lang w:val="ro-MD"/>
        </w:rPr>
        <w:t xml:space="preserve"> indicând în subiectul mesajului numărul de referință și denumirea licitației</w:t>
      </w:r>
      <w:r w:rsidR="001C3BAC">
        <w:rPr>
          <w:lang w:val="ro-MD"/>
        </w:rPr>
        <w:t>(parola la mesaj)</w:t>
      </w:r>
      <w:r w:rsidRPr="00CD05DA">
        <w:rPr>
          <w:lang w:val="ro-MD"/>
        </w:rPr>
        <w:t xml:space="preserve">.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9E7982">
      <w:pPr>
        <w:pStyle w:val="Blockquote"/>
        <w:ind w:left="1418" w:right="1"/>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9E7982" w:rsidRDefault="009E7982" w:rsidP="009E7982">
      <w:pPr>
        <w:ind w:left="1418"/>
        <w:outlineLvl w:val="0"/>
        <w:rPr>
          <w:b/>
          <w:lang w:val="ro-MD"/>
        </w:rPr>
      </w:pPr>
      <w:r w:rsidRPr="009E7982">
        <w:rPr>
          <w:b/>
          <w:lang w:val="ro-MD"/>
        </w:rPr>
        <w:t xml:space="preserve">Denumirea licitației: </w:t>
      </w:r>
      <w:r w:rsidRPr="00A508A9">
        <w:rPr>
          <w:rStyle w:val="StrongEmphasis"/>
          <w:szCs w:val="24"/>
          <w:lang w:val="ro-MD"/>
        </w:rPr>
        <w:t>Achiziționarea serviciilor de organizare a schimbului de experiență în raionul Hîncești a angajaților de la Spitalul orășenesc Tg. Bujor</w:t>
      </w:r>
      <w:r>
        <w:rPr>
          <w:rStyle w:val="StrongEmphasis"/>
          <w:szCs w:val="24"/>
          <w:lang w:val="ro-MD"/>
        </w:rPr>
        <w:t>, județul Galați, România</w:t>
      </w:r>
    </w:p>
    <w:p w:rsidR="009E7982" w:rsidRPr="00A508A9" w:rsidRDefault="009E7982" w:rsidP="009E7982">
      <w:pPr>
        <w:ind w:left="1418"/>
        <w:outlineLvl w:val="0"/>
        <w:rPr>
          <w:b/>
          <w:lang w:val="ro-MD"/>
        </w:rPr>
      </w:pPr>
      <w:r w:rsidRPr="009E7982">
        <w:rPr>
          <w:b/>
          <w:lang w:val="ro-MD"/>
        </w:rPr>
        <w:t xml:space="preserve">Numărul de referință a procedurii de achiziție: </w:t>
      </w:r>
      <w:r w:rsidRPr="00A508A9">
        <w:rPr>
          <w:b/>
          <w:lang w:val="ro-MD"/>
        </w:rPr>
        <w:t>SE5.4.2</w:t>
      </w:r>
    </w:p>
    <w:p w:rsidR="009E7982" w:rsidRDefault="009E7982" w:rsidP="009E7982">
      <w:pPr>
        <w:pStyle w:val="Blockquote"/>
        <w:ind w:left="720"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9E7982">
      <w:pPr>
        <w:pStyle w:val="Blockquote"/>
        <w:ind w:left="720" w:firstLine="720"/>
        <w:jc w:val="both"/>
        <w:rPr>
          <w:b/>
          <w:lang w:val="ro-MD"/>
        </w:rPr>
      </w:pPr>
      <w:r w:rsidRPr="009E7982">
        <w:rPr>
          <w:b/>
          <w:lang w:val="ro-MD"/>
        </w:rPr>
        <w:t>Numele ofertantului:</w:t>
      </w:r>
    </w:p>
    <w:p w:rsidR="009E7982" w:rsidRPr="00CD05DA" w:rsidRDefault="009E7982" w:rsidP="009E7982">
      <w:pPr>
        <w:pStyle w:val="Blockquote"/>
        <w:jc w:val="both"/>
        <w:rPr>
          <w:lang w:val="ro-MD"/>
        </w:rPr>
      </w:pPr>
    </w:p>
    <w:p w:rsidR="00655AAC" w:rsidRPr="00A508A9" w:rsidRDefault="00675D3D">
      <w:pPr>
        <w:pStyle w:val="Blockquote"/>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pPr>
        <w:pStyle w:val="Blockquote"/>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t>22. Limbajul operațional</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w:t>
      </w:r>
      <w:r w:rsidRPr="00473FAD">
        <w:rPr>
          <w:lang w:val="ro-MD"/>
        </w:rPr>
        <w:lastRenderedPageBreak/>
        <w:t xml:space="preserve">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1C3BAC">
      <w:footerReference w:type="default" r:id="rId10"/>
      <w:pgSz w:w="12240" w:h="15840"/>
      <w:pgMar w:top="709" w:right="900"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82" w:rsidRDefault="00C40382">
      <w:pPr>
        <w:spacing w:before="0" w:after="0"/>
      </w:pPr>
      <w:r>
        <w:separator/>
      </w:r>
    </w:p>
  </w:endnote>
  <w:endnote w:type="continuationSeparator" w:id="0">
    <w:p w:rsidR="00C40382" w:rsidRDefault="00C403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9C3B76">
      <w:rPr>
        <w:rStyle w:val="a6"/>
        <w:noProof/>
        <w:sz w:val="18"/>
        <w:szCs w:val="18"/>
        <w:lang w:val="en-GB"/>
      </w:rPr>
      <w:t>4</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9C3B76">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82" w:rsidRDefault="00C40382">
      <w:pPr>
        <w:spacing w:before="0" w:after="0"/>
      </w:pPr>
      <w:r>
        <w:separator/>
      </w:r>
    </w:p>
  </w:footnote>
  <w:footnote w:type="continuationSeparator" w:id="0">
    <w:p w:rsidR="00C40382" w:rsidRDefault="00C403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D3A59"/>
    <w:rsid w:val="001C3BAC"/>
    <w:rsid w:val="00270991"/>
    <w:rsid w:val="0028101A"/>
    <w:rsid w:val="002E499A"/>
    <w:rsid w:val="00611063"/>
    <w:rsid w:val="00655AAC"/>
    <w:rsid w:val="00675D3D"/>
    <w:rsid w:val="00837D35"/>
    <w:rsid w:val="00881FA0"/>
    <w:rsid w:val="009C3B76"/>
    <w:rsid w:val="009E7982"/>
    <w:rsid w:val="00A508A9"/>
    <w:rsid w:val="00AD1CD0"/>
    <w:rsid w:val="00BC4A16"/>
    <w:rsid w:val="00BC55A3"/>
    <w:rsid w:val="00C40382"/>
    <w:rsid w:val="00C8047E"/>
    <w:rsid w:val="00CD05DA"/>
    <w:rsid w:val="00CE7D70"/>
    <w:rsid w:val="00CF5269"/>
    <w:rsid w:val="00D12805"/>
    <w:rsid w:val="00D22A7C"/>
    <w:rsid w:val="00DF7675"/>
    <w:rsid w:val="00E4316D"/>
    <w:rsid w:val="00F56EC3"/>
    <w:rsid w:val="00F579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B74F"/>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ncesti.md/2021/11/23/proiectul-sanatatea-in-maini-bune-1hard-4-1-24/"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iectcshinc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1840</Words>
  <Characters>10488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9</cp:revision>
  <dcterms:created xsi:type="dcterms:W3CDTF">2022-03-15T13:41:00Z</dcterms:created>
  <dcterms:modified xsi:type="dcterms:W3CDTF">2022-03-30T12:47:00Z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