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A2" w:rsidRDefault="00DD4031">
      <w:bookmarkStart w:id="0" w:name="_GoBack"/>
      <w:bookmarkEnd w:id="0"/>
      <w:r>
        <w:rPr>
          <w:noProof/>
          <w:lang w:val="ro-RO" w:eastAsia="ro-RO"/>
        </w:rPr>
        <mc:AlternateContent>
          <mc:Choice Requires="wps">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7560310" cy="219075"/>
                <wp:effectExtent l="0" t="0" r="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19075"/>
                        </a:xfrm>
                        <a:prstGeom prst="rect">
                          <a:avLst/>
                        </a:prstGeom>
                        <a:solidFill>
                          <a:srgbClr val="F2F2F2"/>
                        </a:solidFill>
                        <a:ln w="9525">
                          <a:noFill/>
                          <a:miter lim="800000"/>
                          <a:headEnd/>
                          <a:tailEnd/>
                        </a:ln>
                      </wps:spPr>
                      <wps:txbx>
                        <w:txbxContent>
                          <w:p w:rsidR="00C608A2" w:rsidRDefault="004F74CE">
                            <w:pPr>
                              <w:contextualSpacing/>
                            </w:pPr>
                            <w:r>
                              <w:rPr>
                                <w:rFonts w:ascii="Roboto" w:hAnsi="Roboto"/>
                                <w:color w:val="0F2B46"/>
                                <w:szCs w:val="18"/>
                              </w:rPr>
                              <w:t xml:space="preserve"> </w:t>
                            </w:r>
                          </w:p>
                        </w:txbxContent>
                      </wps:txbx>
                      <wps:bodyPr rot="0" vert="horz" wrap="square" lIns="91440" tIns="0" rIns="91440" bIns="0" anchor="t" anchorCtr="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595.3pt;height:17.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" fillcolor="#f2f2f2" stroked="f">
                <v:textbox inset=",0,,0">
                  <w:txbxContent>
                    <w:p w:rsidR="00C608A2" w:rsidRDefault="004F74CE">
                      <w:pPr>
                        <w:contextualSpacing/>
                      </w:pPr>
                      <w:r>
                        <w:rPr>
                          <w:rFonts w:ascii="Roboto" w:hAnsi="Roboto"/>
                          <w:color w:val="0F2B46"/>
                          <w:szCs w:val="18"/>
                        </w:rPr>
                        <w:t xml:space="preserve"> </w:t>
                      </w:r>
                    </w:p>
                  </w:txbxContent>
                </v:textbox>
                <w10:wrap anchorx="page" anchory="page"/>
              </v:shape>
            </w:pict>
          </mc:Fallback>
        </mc:AlternateContent>
      </w:r>
    </w:p>
    <w:p w:rsidR="0032070F" w:rsidRPr="008C4C38" w:rsidRDefault="0032070F" w:rsidP="00FF1F68">
      <w:pPr>
        <w:spacing w:before="240" w:after="240"/>
        <w:jc w:val="center"/>
        <w:rPr>
          <w:b/>
          <w:iCs/>
        </w:rPr>
      </w:pPr>
      <w:bookmarkStart w:id="1" w:name="_Toc469041344"/>
      <w:r w:rsidRPr="008C4C38">
        <w:rPr>
          <w:b/>
          <w:iCs/>
          <w:highlight w:val="yellow"/>
        </w:rPr>
        <w:t>Doar EDF</w:t>
      </w:r>
    </w:p>
    <w:p w:rsidR="00FF1F68" w:rsidRPr="0070261A" w:rsidRDefault="00B06606" w:rsidP="00FF1F68">
      <w:pPr>
        <w:spacing w:before="240"/>
        <w:jc w:val="center"/>
        <w:rPr>
          <w:b/>
          <w:i/>
          <w:sz w:val="28"/>
          <w:szCs w:val="28"/>
        </w:rPr>
      </w:pPr>
      <w:r w:rsidRPr="0070261A">
        <w:rPr>
          <w:b/>
          <w:i/>
          <w:sz w:val="28"/>
          <w:szCs w:val="28"/>
        </w:rPr>
        <w:t>Aranjamente fiscale și vamale</w:t>
      </w:r>
      <w:bookmarkEnd w:id="1"/>
    </w:p>
    <w:p w:rsidR="00B06606" w:rsidRPr="0070261A" w:rsidRDefault="007C4CAD" w:rsidP="00FF1F68">
      <w:pPr>
        <w:spacing w:before="120" w:after="240"/>
        <w:jc w:val="center"/>
        <w:rPr>
          <w:i/>
          <w:sz w:val="28"/>
          <w:szCs w:val="28"/>
        </w:rPr>
      </w:pPr>
      <w:r w:rsidRPr="0070261A">
        <w:rPr>
          <w:b/>
          <w:i/>
          <w:sz w:val="28"/>
          <w:szCs w:val="28"/>
        </w:rPr>
        <w:t xml:space="preserve">Articolul 31 din anexa IV la </w:t>
      </w:r>
      <w:smartTag w:uri="urn:schemas-microsoft-com:office:smarttags" w:element="City">
        <w:smartTag w:uri="urn:schemas-microsoft-com:office:smarttags" w:element="place">
          <w:r w:rsidRPr="0070261A">
            <w:rPr>
              <w:b/>
              <w:i/>
              <w:sz w:val="28"/>
              <w:szCs w:val="28"/>
            </w:rPr>
            <w:t>Cotonou</w:t>
          </w:r>
        </w:smartTag>
      </w:smartTag>
      <w:r w:rsidRPr="0070261A">
        <w:rPr>
          <w:b/>
          <w:i/>
          <w:sz w:val="28"/>
          <w:szCs w:val="28"/>
        </w:rPr>
        <w:t xml:space="preserve"> Acord</w:t>
      </w:r>
    </w:p>
    <w:p w:rsidR="00B06606" w:rsidRPr="0070261A" w:rsidRDefault="00B06606" w:rsidP="00DF6326">
      <w:pPr>
        <w:numPr>
          <w:ilvl w:val="0"/>
          <w:numId w:val="1"/>
        </w:numPr>
        <w:tabs>
          <w:tab w:val="clear" w:pos="900"/>
        </w:tabs>
        <w:spacing w:before="120" w:after="120"/>
        <w:ind w:left="425" w:hanging="425"/>
        <w:jc w:val="both"/>
        <w:rPr>
          <w:sz w:val="22"/>
          <w:szCs w:val="22"/>
        </w:rPr>
      </w:pPr>
      <w:r w:rsidRPr="0070261A">
        <w:rPr>
          <w:sz w:val="22"/>
          <w:szCs w:val="22"/>
        </w:rPr>
        <w:t>Statele ACP aplică contractelor finanțate prin regimul fiscal și vamal comunitar nu mai puțin favorabile decât cele aplicate de acestea statelor cele mai favorizate sau organizațiilor internaționale de dezvoltare cu care au relații. În scopul determinării tratamentului națiunii celei mai favorizate (MFN), nu se ține seama de aranjamentele aplicate de către</w:t>
      </w:r>
      <w:smartTag w:uri="urn:schemas-microsoft-com:office:smarttags" w:element="place">
        <w:smartTag w:uri="urn:schemas-microsoft-com:office:smarttags" w:element="PlaceName">
          <w:r w:rsidRPr="0070261A">
            <w:rPr>
              <w:sz w:val="22"/>
              <w:szCs w:val="22"/>
            </w:rPr>
            <w:t>ACP</w:t>
          </w:r>
        </w:smartTag>
        <w:r w:rsidRPr="0070261A">
          <w:rPr>
            <w:sz w:val="22"/>
            <w:szCs w:val="22"/>
          </w:rPr>
          <w:t xml:space="preserve"> </w:t>
        </w:r>
        <w:smartTag w:uri="urn:schemas-microsoft-com:office:smarttags" w:element="PlaceType">
          <w:r w:rsidRPr="0070261A">
            <w:rPr>
              <w:sz w:val="22"/>
              <w:szCs w:val="22"/>
            </w:rPr>
            <w:t>Stat</w:t>
          </w:r>
        </w:smartTag>
      </w:smartTag>
      <w:r w:rsidRPr="0070261A">
        <w:rPr>
          <w:sz w:val="22"/>
          <w:szCs w:val="22"/>
        </w:rPr>
        <w:t xml:space="preserve"> în cauză către alte state ACP sau către alte țări în curs de dezvoltare.</w:t>
      </w:r>
    </w:p>
    <w:p w:rsidR="00B06606" w:rsidRPr="0070261A" w:rsidRDefault="00B06606" w:rsidP="00DF6326">
      <w:pPr>
        <w:numPr>
          <w:ilvl w:val="0"/>
          <w:numId w:val="1"/>
        </w:numPr>
        <w:tabs>
          <w:tab w:val="clear" w:pos="900"/>
        </w:tabs>
        <w:spacing w:before="120"/>
        <w:ind w:left="425" w:hanging="425"/>
        <w:jc w:val="both"/>
        <w:rPr>
          <w:sz w:val="22"/>
          <w:szCs w:val="22"/>
        </w:rPr>
      </w:pPr>
      <w:r w:rsidRPr="0070261A">
        <w:rPr>
          <w:color w:val="000000"/>
          <w:sz w:val="22"/>
          <w:szCs w:val="22"/>
        </w:rPr>
        <w:t xml:space="preserve">Sub rezerva dispozițiilor de mai sus, următoarele se aplică contractelor finanțate de </w:t>
      </w:r>
      <w:r w:rsidRPr="0070261A">
        <w:rPr>
          <w:sz w:val="22"/>
          <w:szCs w:val="22"/>
        </w:rPr>
        <w:t>Comunitate</w:t>
      </w:r>
      <w:r w:rsidRPr="0070261A">
        <w:rPr>
          <w:color w:val="000000"/>
          <w:sz w:val="22"/>
          <w:szCs w:val="22"/>
        </w:rPr>
        <w:t>:</w:t>
      </w:r>
    </w:p>
    <w:p w:rsidR="00B06606" w:rsidRPr="0070261A" w:rsidRDefault="00B06606" w:rsidP="00DF6326">
      <w:pPr>
        <w:numPr>
          <w:ilvl w:val="0"/>
          <w:numId w:val="2"/>
        </w:numPr>
        <w:tabs>
          <w:tab w:val="clear" w:pos="1134"/>
          <w:tab w:val="left" w:pos="851"/>
        </w:tabs>
        <w:spacing w:before="60" w:after="120"/>
        <w:ind w:left="850" w:hanging="425"/>
        <w:jc w:val="both"/>
        <w:rPr>
          <w:sz w:val="22"/>
          <w:szCs w:val="22"/>
        </w:rPr>
      </w:pPr>
      <w:r w:rsidRPr="0070261A">
        <w:rPr>
          <w:sz w:val="22"/>
          <w:szCs w:val="22"/>
        </w:rPr>
        <w:t>contractul nu este supus în statul ACP beneficiar taxelor de timbru sau de înregistrare sau taxelor fiscale cu efect echivalent, indiferent dacă aceste taxe există deja sau urmează să fie instituite în viitor; totuși, astfel de contracte vor fi înregistrate în conformitate cu legile în vigoare în statul ACP și se poate percepe pentru aceasta o taxă corespunzătoare serviciului prestat;</w:t>
      </w:r>
    </w:p>
    <w:p w:rsidR="00B06606" w:rsidRPr="0070261A" w:rsidRDefault="00B06606" w:rsidP="00DF6326">
      <w:pPr>
        <w:numPr>
          <w:ilvl w:val="0"/>
          <w:numId w:val="2"/>
        </w:numPr>
        <w:tabs>
          <w:tab w:val="clear" w:pos="1134"/>
          <w:tab w:val="left" w:pos="851"/>
        </w:tabs>
        <w:spacing w:before="60" w:after="120"/>
        <w:ind w:left="850" w:hanging="425"/>
        <w:jc w:val="both"/>
        <w:rPr>
          <w:sz w:val="22"/>
          <w:szCs w:val="22"/>
        </w:rPr>
      </w:pPr>
      <w:r w:rsidRPr="0070261A">
        <w:rPr>
          <w:sz w:val="22"/>
          <w:szCs w:val="22"/>
        </w:rPr>
        <w:t>profiturile și/sau veniturile rezultate din executarea contractelor sunt impozabile conform aranjamentelor fiscale interne ale statului ACP în cauză, cu condiția ca persoanele fizice sau juridice care realizează astfel de profit și/sau venituri să aibă un sediu permanent de activitate în acel stat. , sau că executarea contractului durează mai mult de șase luni;</w:t>
      </w:r>
    </w:p>
    <w:p w:rsidR="00B06606" w:rsidRPr="0070261A" w:rsidRDefault="00B06606" w:rsidP="00DF6326">
      <w:pPr>
        <w:numPr>
          <w:ilvl w:val="0"/>
          <w:numId w:val="2"/>
        </w:numPr>
        <w:tabs>
          <w:tab w:val="clear" w:pos="1134"/>
          <w:tab w:val="left" w:pos="851"/>
        </w:tabs>
        <w:spacing w:before="60" w:after="120"/>
        <w:ind w:left="850" w:hanging="425"/>
        <w:jc w:val="both"/>
        <w:rPr>
          <w:sz w:val="22"/>
          <w:szCs w:val="22"/>
        </w:rPr>
      </w:pPr>
      <w:r w:rsidRPr="0070261A">
        <w:rPr>
          <w:sz w:val="22"/>
          <w:szCs w:val="22"/>
        </w:rPr>
        <w:t>întreprinderile care trebuie să importe echipamente profesionale în vederea executării contractelor de lucrări beneficiază, dacă solicită acest lucru, de sistemul de admitere temporară prevăzut de legislația națională a statului ACP beneficiar cu privire la echipamentele menționate;</w:t>
      </w:r>
    </w:p>
    <w:p w:rsidR="00B06606" w:rsidRPr="0070261A" w:rsidRDefault="00B06606" w:rsidP="00DF6326">
      <w:pPr>
        <w:numPr>
          <w:ilvl w:val="0"/>
          <w:numId w:val="2"/>
        </w:numPr>
        <w:tabs>
          <w:tab w:val="clear" w:pos="1134"/>
          <w:tab w:val="left" w:pos="851"/>
        </w:tabs>
        <w:spacing w:before="60" w:after="120"/>
        <w:ind w:left="850" w:hanging="425"/>
        <w:jc w:val="both"/>
        <w:rPr>
          <w:sz w:val="22"/>
          <w:szCs w:val="22"/>
        </w:rPr>
      </w:pPr>
      <w:r w:rsidRPr="0070261A">
        <w:rPr>
          <w:sz w:val="22"/>
          <w:szCs w:val="22"/>
        </w:rPr>
        <w:t>echipamentele profesionale necesare pentru îndeplinirea sarcinilor definite într-un contract de servicii sunt admise temporar în statul sau statele ACP beneficiare, în conformitate cu legislația sa națională, fără taxe fiscale, de import și vamale și de alte taxe cu efect echivalent în cazul în care aceste taxe și taxe nu nu constituie remunerație pentru serviciile prestate;</w:t>
      </w:r>
    </w:p>
    <w:p w:rsidR="00B06606" w:rsidRPr="0070261A" w:rsidRDefault="00B06606" w:rsidP="00DF6326">
      <w:pPr>
        <w:numPr>
          <w:ilvl w:val="0"/>
          <w:numId w:val="2"/>
        </w:numPr>
        <w:tabs>
          <w:tab w:val="clear" w:pos="1134"/>
          <w:tab w:val="left" w:pos="851"/>
        </w:tabs>
        <w:spacing w:before="60" w:after="120"/>
        <w:ind w:left="850" w:hanging="425"/>
        <w:jc w:val="both"/>
        <w:rPr>
          <w:sz w:val="22"/>
          <w:szCs w:val="22"/>
        </w:rPr>
      </w:pPr>
      <w:r w:rsidRPr="0070261A">
        <w:rPr>
          <w:sz w:val="22"/>
          <w:szCs w:val="22"/>
        </w:rPr>
        <w:t xml:space="preserve">importurile în cadrul contractelor de furnizare vor fi admise în beneficiar </w:t>
      </w:r>
      <w:smartTag w:uri="urn:schemas-microsoft-com:office:smarttags" w:element="place">
        <w:smartTag w:uri="urn:schemas-microsoft-com:office:smarttags" w:element="PlaceName">
          <w:r w:rsidRPr="0070261A">
            <w:rPr>
              <w:sz w:val="22"/>
              <w:szCs w:val="22"/>
            </w:rPr>
            <w:t>ACP</w:t>
          </w:r>
        </w:smartTag>
        <w:r w:rsidRPr="0070261A">
          <w:rPr>
            <w:sz w:val="22"/>
            <w:szCs w:val="22"/>
          </w:rPr>
          <w:t xml:space="preserve"> </w:t>
        </w:r>
        <w:smartTag w:uri="urn:schemas-microsoft-com:office:smarttags" w:element="PlaceType">
          <w:r w:rsidRPr="0070261A">
            <w:rPr>
              <w:sz w:val="22"/>
              <w:szCs w:val="22"/>
            </w:rPr>
            <w:t>Stat</w:t>
          </w:r>
        </w:smartTag>
      </w:smartTag>
      <w:r w:rsidRPr="0070261A">
        <w:rPr>
          <w:sz w:val="22"/>
          <w:szCs w:val="22"/>
        </w:rPr>
        <w:t>fără taxe vamale, taxe de import, taxe sau taxe fiscale cu efect echivalent. Contractul de bunuri originare din statul ACP în cauză se încheie pe baza prețului franco fabrică al bunurilor la care se pot adăuga taxele fiscale interne care pot fi aplicabile acelor bunuri în statul ACP;</w:t>
      </w:r>
    </w:p>
    <w:p w:rsidR="00B06606" w:rsidRPr="0070261A" w:rsidRDefault="00B06606" w:rsidP="00DF6326">
      <w:pPr>
        <w:numPr>
          <w:ilvl w:val="0"/>
          <w:numId w:val="2"/>
        </w:numPr>
        <w:tabs>
          <w:tab w:val="clear" w:pos="1134"/>
          <w:tab w:val="left" w:pos="851"/>
        </w:tabs>
        <w:spacing w:before="60" w:after="120"/>
        <w:ind w:left="850" w:hanging="425"/>
        <w:jc w:val="both"/>
        <w:rPr>
          <w:sz w:val="22"/>
          <w:szCs w:val="22"/>
        </w:rPr>
      </w:pPr>
      <w:r w:rsidRPr="0070261A">
        <w:rPr>
          <w:sz w:val="22"/>
          <w:szCs w:val="22"/>
        </w:rPr>
        <w:t>carburanții, lubrifianții și lianții de hidrocarburi și, în general, toate materialele utilizate în executarea contractelor de lucrări se consideră că au fost achiziționate pe piața locală și se supun regulilor fiscale aplicabile conform legislației naționale în vigoare în statul ACP beneficiar. ; și</w:t>
      </w:r>
    </w:p>
    <w:p w:rsidR="00B06606" w:rsidRPr="0070261A" w:rsidRDefault="00B06606" w:rsidP="00DF6326">
      <w:pPr>
        <w:numPr>
          <w:ilvl w:val="0"/>
          <w:numId w:val="2"/>
        </w:numPr>
        <w:tabs>
          <w:tab w:val="clear" w:pos="1134"/>
          <w:tab w:val="left" w:pos="851"/>
        </w:tabs>
        <w:spacing w:before="60" w:after="120"/>
        <w:ind w:left="850" w:hanging="425"/>
        <w:jc w:val="both"/>
        <w:rPr>
          <w:sz w:val="22"/>
          <w:szCs w:val="22"/>
        </w:rPr>
      </w:pPr>
      <w:r w:rsidRPr="0070261A">
        <w:rPr>
          <w:sz w:val="22"/>
          <w:szCs w:val="22"/>
        </w:rPr>
        <w:t>efectele personale și menajere importate pentru utilizare de către persoane fizice, altele decât cele recrutate pe plan local, angajate în îndeplinirea sarcinilor definite într-un contract de prestări de servicii și membrii familiilor acestora, sunt scutite de taxe vamale sau de import, taxe și alte taxe fiscale cu efect echivalent. , în limita legislației naționale în vigoare în statul ACP beneficiar.</w:t>
      </w:r>
    </w:p>
    <w:p w:rsidR="00B06606" w:rsidRPr="0070261A" w:rsidRDefault="00B06606" w:rsidP="00DF6326">
      <w:pPr>
        <w:numPr>
          <w:ilvl w:val="0"/>
          <w:numId w:val="1"/>
        </w:numPr>
        <w:tabs>
          <w:tab w:val="clear" w:pos="900"/>
        </w:tabs>
        <w:spacing w:before="120"/>
        <w:ind w:left="425" w:hanging="425"/>
        <w:jc w:val="both"/>
        <w:rPr>
          <w:sz w:val="22"/>
          <w:szCs w:val="22"/>
        </w:rPr>
      </w:pPr>
      <w:r w:rsidRPr="00DF6326">
        <w:rPr>
          <w:sz w:val="22"/>
          <w:szCs w:val="22"/>
        </w:rPr>
        <w:t>Orice chestiune care nu este acoperită de dispozițiile de mai sus privind regimul fiscal și vamal rămâne supusă legislației naționale a</w:t>
      </w:r>
      <w:smartTag w:uri="urn:schemas-microsoft-com:office:smarttags" w:element="place">
        <w:smartTag w:uri="urn:schemas-microsoft-com:office:smarttags" w:element="PlaceName">
          <w:r w:rsidRPr="00DF6326">
            <w:rPr>
              <w:sz w:val="22"/>
              <w:szCs w:val="22"/>
            </w:rPr>
            <w:t>ACP</w:t>
          </w:r>
        </w:smartTag>
        <w:r w:rsidRPr="00DF6326">
          <w:rPr>
            <w:sz w:val="22"/>
            <w:szCs w:val="22"/>
          </w:rPr>
          <w:t xml:space="preserve"> </w:t>
        </w:r>
        <w:smartTag w:uri="urn:schemas-microsoft-com:office:smarttags" w:element="PlaceType">
          <w:r w:rsidRPr="00DF6326">
            <w:rPr>
              <w:sz w:val="22"/>
              <w:szCs w:val="22"/>
            </w:rPr>
            <w:t>Stat</w:t>
          </w:r>
        </w:smartTag>
      </w:smartTag>
      <w:r w:rsidRPr="00DF6326">
        <w:rPr>
          <w:sz w:val="22"/>
          <w:szCs w:val="22"/>
        </w:rPr>
        <w:t xml:space="preserve"> îngrijorat.</w:t>
      </w:r>
    </w:p>
    <w:sectPr w:rsidR="00B06606" w:rsidRPr="0070261A" w:rsidSect="00DF6326">
      <w:headerReference w:type="even" r:id="rId7"/>
      <w:headerReference w:type="default" r:id="rId8"/>
      <w:footerReference w:type="even" r:id="rId9"/>
      <w:footerReference w:type="default" r:id="rId10"/>
      <w:headerReference w:type="first" r:id="rId11"/>
      <w:footerReference w:type="first" r:id="rId12"/>
      <w:pgSz w:w="11906" w:h="16838"/>
      <w:pgMar w:top="709" w:right="1133" w:bottom="119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375" w:rsidRDefault="004E6375">
      <w:r>
        <w:separator/>
      </w:r>
    </w:p>
  </w:endnote>
  <w:endnote w:type="continuationSeparator" w:id="0">
    <w:p w:rsidR="004E6375" w:rsidRDefault="004E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85" w:rsidRDefault="00D54B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448" w:rsidRPr="008C4C38" w:rsidRDefault="0061637F" w:rsidP="00D66043">
    <w:pPr>
      <w:pStyle w:val="Footer"/>
      <w:tabs>
        <w:tab w:val="clear" w:pos="4536"/>
      </w:tabs>
      <w:rPr>
        <w:sz w:val="18"/>
        <w:szCs w:val="18"/>
      </w:rPr>
    </w:pPr>
    <w:r w:rsidRPr="0061637F">
      <w:rPr>
        <w:b/>
        <w:snapToGrid w:val="0"/>
        <w:sz w:val="18"/>
      </w:rPr>
      <w:t>august 2020</w:t>
    </w:r>
    <w:r w:rsidR="00370448" w:rsidRPr="008C4C38">
      <w:rPr>
        <w:sz w:val="18"/>
        <w:szCs w:val="18"/>
      </w:rPr>
      <w:tab/>
      <w:t xml:space="preserve">Pagină </w:t>
    </w:r>
    <w:r w:rsidR="00370448" w:rsidRPr="008239F0">
      <w:rPr>
        <w:sz w:val="18"/>
        <w:szCs w:val="18"/>
        <w:lang w:val="sv-SE"/>
      </w:rPr>
      <w:fldChar w:fldCharType="begin"/>
    </w:r>
    <w:r w:rsidR="00370448" w:rsidRPr="008C4C38">
      <w:rPr>
        <w:sz w:val="18"/>
        <w:szCs w:val="18"/>
      </w:rPr>
      <w:instrText xml:space="preserve"> PAGE </w:instrText>
    </w:r>
    <w:r w:rsidR="00370448" w:rsidRPr="008239F0">
      <w:rPr>
        <w:sz w:val="18"/>
        <w:szCs w:val="18"/>
        <w:lang w:val="sv-SE"/>
      </w:rPr>
      <w:fldChar w:fldCharType="separate"/>
    </w:r>
    <w:r w:rsidR="00DD4031">
      <w:rPr>
        <w:noProof/>
        <w:sz w:val="18"/>
        <w:szCs w:val="18"/>
      </w:rPr>
      <w:t>1</w:t>
    </w:r>
    <w:r w:rsidR="00370448" w:rsidRPr="008239F0">
      <w:rPr>
        <w:sz w:val="18"/>
        <w:szCs w:val="18"/>
        <w:lang w:val="sv-SE"/>
      </w:rPr>
      <w:fldChar w:fldCharType="end"/>
    </w:r>
    <w:r w:rsidR="00370448" w:rsidRPr="008C4C38">
      <w:rPr>
        <w:sz w:val="18"/>
        <w:szCs w:val="18"/>
      </w:rPr>
      <w:t xml:space="preserve"> de </w:t>
    </w:r>
    <w:r w:rsidR="00370448" w:rsidRPr="008239F0">
      <w:rPr>
        <w:sz w:val="18"/>
        <w:szCs w:val="18"/>
        <w:lang w:val="sv-SE"/>
      </w:rPr>
      <w:fldChar w:fldCharType="begin"/>
    </w:r>
    <w:r w:rsidR="00370448" w:rsidRPr="008C4C38">
      <w:rPr>
        <w:sz w:val="18"/>
        <w:szCs w:val="18"/>
      </w:rPr>
      <w:instrText xml:space="preserve"> NUMPAGES </w:instrText>
    </w:r>
    <w:r w:rsidR="00370448" w:rsidRPr="008239F0">
      <w:rPr>
        <w:sz w:val="18"/>
        <w:szCs w:val="18"/>
        <w:lang w:val="sv-SE"/>
      </w:rPr>
      <w:fldChar w:fldCharType="separate"/>
    </w:r>
    <w:r w:rsidR="00DD4031">
      <w:rPr>
        <w:noProof/>
        <w:sz w:val="18"/>
        <w:szCs w:val="18"/>
      </w:rPr>
      <w:t>1</w:t>
    </w:r>
    <w:r w:rsidR="00370448" w:rsidRPr="008239F0">
      <w:rPr>
        <w:sz w:val="18"/>
        <w:szCs w:val="18"/>
        <w:lang w:val="sv-SE"/>
      </w:rPr>
      <w:fldChar w:fldCharType="end"/>
    </w:r>
  </w:p>
  <w:p w:rsidR="00370448" w:rsidRPr="00370448" w:rsidRDefault="00370448" w:rsidP="00111CB6">
    <w:pPr>
      <w:pStyle w:val="Footer"/>
      <w:rPr>
        <w:sz w:val="18"/>
        <w:szCs w:val="18"/>
      </w:rPr>
    </w:pPr>
    <w:r w:rsidRPr="00370448">
      <w:rPr>
        <w:sz w:val="18"/>
        <w:szCs w:val="18"/>
      </w:rPr>
      <w:fldChar w:fldCharType="begin"/>
    </w:r>
    <w:r w:rsidRPr="00370448">
      <w:rPr>
        <w:sz w:val="18"/>
        <w:szCs w:val="18"/>
      </w:rPr>
      <w:instrText xml:space="preserve"> FILENAME </w:instrText>
    </w:r>
    <w:r w:rsidRPr="00370448">
      <w:rPr>
        <w:sz w:val="18"/>
        <w:szCs w:val="18"/>
      </w:rPr>
      <w:fldChar w:fldCharType="separate"/>
    </w:r>
    <w:r w:rsidR="00D66043">
      <w:rPr>
        <w:noProof/>
        <w:sz w:val="18"/>
        <w:szCs w:val="18"/>
      </w:rPr>
      <w:t>d4t_taxcustomsarrangements_en.doc</w:t>
    </w:r>
    <w:r w:rsidRPr="00370448">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85" w:rsidRDefault="00D54B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375" w:rsidRDefault="004E6375">
      <w:r>
        <w:separator/>
      </w:r>
    </w:p>
  </w:footnote>
  <w:footnote w:type="continuationSeparator" w:id="0">
    <w:p w:rsidR="004E6375" w:rsidRDefault="004E63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85" w:rsidRDefault="00D54B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85" w:rsidRDefault="00D54B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85" w:rsidRDefault="00D54B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08C"/>
    <w:multiLevelType w:val="singleLevel"/>
    <w:tmpl w:val="0AA605A4"/>
    <w:lvl w:ilvl="0">
      <w:start w:val="1"/>
      <w:numFmt w:val="decimal"/>
      <w:lvlText w:val="%1."/>
      <w:lvlJc w:val="left"/>
      <w:pPr>
        <w:tabs>
          <w:tab w:val="num" w:pos="900"/>
        </w:tabs>
        <w:ind w:left="900" w:hanging="72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A142FDD"/>
    <w:multiLevelType w:val="singleLevel"/>
    <w:tmpl w:val="160E594A"/>
    <w:lvl w:ilvl="0">
      <w:start w:val="1"/>
      <w:numFmt w:val="lowerLetter"/>
      <w:lvlText w:val="(%1)"/>
      <w:lvlJc w:val="left"/>
      <w:pPr>
        <w:tabs>
          <w:tab w:val="num" w:pos="1134"/>
        </w:tabs>
        <w:ind w:left="1134" w:hanging="414"/>
      </w:pPr>
      <w:rPr>
        <w:rFonts w:ascii="Times New Roman" w:hAnsi="Times New Roman" w:hint="default"/>
        <w:b w:val="0"/>
        <w:i w:val="0"/>
        <w:sz w:val="24"/>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604F3"/>
    <w:rsid w:val="000467D7"/>
    <w:rsid w:val="000522AF"/>
    <w:rsid w:val="000A2ABE"/>
    <w:rsid w:val="00111CB6"/>
    <w:rsid w:val="001427F7"/>
    <w:rsid w:val="00186255"/>
    <w:rsid w:val="001870C1"/>
    <w:rsid w:val="001C065B"/>
    <w:rsid w:val="001F7373"/>
    <w:rsid w:val="002015CF"/>
    <w:rsid w:val="00251F11"/>
    <w:rsid w:val="0025239C"/>
    <w:rsid w:val="002604F3"/>
    <w:rsid w:val="002D2044"/>
    <w:rsid w:val="0032070F"/>
    <w:rsid w:val="00370448"/>
    <w:rsid w:val="00386E3D"/>
    <w:rsid w:val="00390537"/>
    <w:rsid w:val="003D20F1"/>
    <w:rsid w:val="0043037C"/>
    <w:rsid w:val="00466ED1"/>
    <w:rsid w:val="0047207B"/>
    <w:rsid w:val="004810CC"/>
    <w:rsid w:val="004E1D3C"/>
    <w:rsid w:val="004E6375"/>
    <w:rsid w:val="004F3290"/>
    <w:rsid w:val="004F74CE"/>
    <w:rsid w:val="00512ABF"/>
    <w:rsid w:val="00541F2E"/>
    <w:rsid w:val="005922CC"/>
    <w:rsid w:val="0060158F"/>
    <w:rsid w:val="0060393B"/>
    <w:rsid w:val="0061637F"/>
    <w:rsid w:val="006355A2"/>
    <w:rsid w:val="0065367B"/>
    <w:rsid w:val="00667999"/>
    <w:rsid w:val="00683C35"/>
    <w:rsid w:val="006D0DD3"/>
    <w:rsid w:val="0070261A"/>
    <w:rsid w:val="00740225"/>
    <w:rsid w:val="00781983"/>
    <w:rsid w:val="007C4CAD"/>
    <w:rsid w:val="00833E97"/>
    <w:rsid w:val="00897C86"/>
    <w:rsid w:val="008C4C38"/>
    <w:rsid w:val="00916DE1"/>
    <w:rsid w:val="00963E32"/>
    <w:rsid w:val="00964C95"/>
    <w:rsid w:val="00A644EA"/>
    <w:rsid w:val="00AA413A"/>
    <w:rsid w:val="00AD51AA"/>
    <w:rsid w:val="00B06606"/>
    <w:rsid w:val="00B1330F"/>
    <w:rsid w:val="00B414FE"/>
    <w:rsid w:val="00B5350C"/>
    <w:rsid w:val="00B84C69"/>
    <w:rsid w:val="00C43A3B"/>
    <w:rsid w:val="00C608A2"/>
    <w:rsid w:val="00C6124C"/>
    <w:rsid w:val="00CA575C"/>
    <w:rsid w:val="00CC7FAB"/>
    <w:rsid w:val="00D06FB3"/>
    <w:rsid w:val="00D3759F"/>
    <w:rsid w:val="00D54B85"/>
    <w:rsid w:val="00D56EC7"/>
    <w:rsid w:val="00D66043"/>
    <w:rsid w:val="00DD4031"/>
    <w:rsid w:val="00DE17B5"/>
    <w:rsid w:val="00DF6326"/>
    <w:rsid w:val="00E211E3"/>
    <w:rsid w:val="00E778D7"/>
    <w:rsid w:val="00E82DC5"/>
    <w:rsid w:val="00EE089A"/>
    <w:rsid w:val="00F8203D"/>
    <w:rsid w:val="00F93A3A"/>
    <w:rsid w:val="00FA5D7A"/>
    <w:rsid w:val="00FE4225"/>
    <w:rsid w:val="00FF1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89B4644-6D45-4326-86C7-64073254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759F"/>
    <w:pPr>
      <w:tabs>
        <w:tab w:val="center" w:pos="4536"/>
        <w:tab w:val="right" w:pos="9072"/>
      </w:tabs>
    </w:pPr>
  </w:style>
  <w:style w:type="paragraph" w:styleId="Footer">
    <w:name w:val="footer"/>
    <w:basedOn w:val="Normal"/>
    <w:rsid w:val="00D3759F"/>
    <w:pPr>
      <w:tabs>
        <w:tab w:val="center" w:pos="4536"/>
        <w:tab w:val="right" w:pos="9072"/>
      </w:tabs>
    </w:pPr>
  </w:style>
  <w:style w:type="paragraph" w:styleId="BalloonText">
    <w:name w:val="Balloon Text"/>
    <w:basedOn w:val="Normal"/>
    <w:link w:val="BalloonTextChar"/>
    <w:rsid w:val="00D54B85"/>
    <w:rPr>
      <w:rFonts w:ascii="Tahoma" w:hAnsi="Tahoma" w:cs="Tahoma"/>
      <w:sz w:val="16"/>
      <w:szCs w:val="16"/>
    </w:rPr>
  </w:style>
  <w:style w:type="character" w:customStyle="1" w:styleId="BalloonTextChar">
    <w:name w:val="Balloon Text Char"/>
    <w:link w:val="BalloonText"/>
    <w:rsid w:val="00D54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Article 31</vt:lpstr>
    </vt:vector>
  </TitlesOfParts>
  <Company>European Commission</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31</dc:title>
  <dc:subject/>
  <dc:creator>Cécile Benhamou</dc:creator>
  <cp:keywords/>
  <dc:description/>
  <cp:lastModifiedBy>User</cp:lastModifiedBy>
  <cp:revision>2</cp:revision>
  <dcterms:created xsi:type="dcterms:W3CDTF">2021-11-23T12:34:00Z</dcterms:created>
  <dcterms:modified xsi:type="dcterms:W3CDTF">2021-11-23T12:34:00Z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2004297337</vt:i4>
  </property>
  <property fmtid="{D5CDD505-2E9C-101B-9397-08002B2CF9AE}" pid="3" name="_EmailSubject">
    <vt:lpwstr>Emailing: fed_b09_en.pdf</vt:lpwstr>
  </property>
  <property fmtid="{D5CDD505-2E9C-101B-9397-08002B2CF9AE}" pid="4" name="_AuthorEmail">
    <vt:lpwstr>Cecile.BENHAMOU@cec.eu.int</vt:lpwstr>
  </property>
  <property fmtid="{D5CDD505-2E9C-101B-9397-08002B2CF9AE}" pid="5" name="_AuthorEmailDisplayName">
    <vt:lpwstr>BENHAMOU Cecile (AIDCO)</vt:lpwstr>
  </property>
  <property fmtid="{D5CDD505-2E9C-101B-9397-08002B2CF9AE}" pid="6" name="_ReviewingToolsShownOnce">
    <vt:lpwstr/>
  </property>
</Properties>
</file>