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6A" w:rsidRDefault="00761F85">
      <w:r>
        <w:rPr>
          <w:noProof/>
        </w:rPr>
        <w:pict>
          <v:shapetype id="_x0000_t202" coordsize="21600,21600" o:spt="202" path="m,l,21600r21600,l21600,xe">
            <v:stroke joinstyle="miter"/>
            <v:path gradientshapeok="t" o:connecttype="rect"/>
          </v:shapetype>
          <v:shape id="ODT_ATTR_LBL_SHAPE" o:spid="_x0000_s1031" type="#_x0000_t202" style="position:absolute;margin-left:0;margin-top:0;width:612pt;height:17.25pt;z-index: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" fillcolor="#f2f2f2" stroked="f">
            <v:textbox inset=",0,,0">
              <w:txbxContent>
                <w:p w:rsidR="00F2056A" w:rsidRDefault="00F2056A">
                  <w:pPr>
                    <w:contextualSpacing/>
                  </w:pPr>
                </w:p>
              </w:txbxContent>
            </v:textbox>
            <w10:wrap anchorx="page" anchory="page"/>
          </v:shape>
        </w:pict>
      </w:r>
    </w:p>
    <w:p w:rsidR="007E0D76" w:rsidRPr="0074779E" w:rsidRDefault="00D62A71" w:rsidP="007C4AA9">
      <w:pPr>
        <w:jc w:val="center"/>
        <w:rPr>
          <w:sz w:val="18"/>
          <w:szCs w:val="18"/>
          <w:lang w:val="ro-MD"/>
        </w:rPr>
      </w:pPr>
      <w:r w:rsidRPr="0074779E">
        <w:rPr>
          <w:sz w:val="18"/>
          <w:szCs w:val="18"/>
          <w:lang w:val="ro-MD"/>
        </w:rPr>
        <w:t>Document</w:t>
      </w:r>
      <w:r w:rsidR="00B32DD7" w:rsidRPr="0074779E">
        <w:rPr>
          <w:sz w:val="18"/>
          <w:szCs w:val="18"/>
          <w:lang w:val="ro-MD"/>
        </w:rPr>
        <w:t xml:space="preserve">ul urmează a fi completat </w:t>
      </w:r>
      <w:r w:rsidRPr="0074779E">
        <w:rPr>
          <w:sz w:val="18"/>
          <w:szCs w:val="18"/>
          <w:lang w:val="ro-MD"/>
        </w:rPr>
        <w:t>de către autoritatea contractantă</w:t>
      </w:r>
      <w:r w:rsidR="00B32DD7" w:rsidRPr="0074779E">
        <w:rPr>
          <w:sz w:val="18"/>
          <w:szCs w:val="18"/>
          <w:lang w:val="ro-MD"/>
        </w:rPr>
        <w:t>,</w:t>
      </w:r>
    </w:p>
    <w:p w:rsidR="007E0D76" w:rsidRPr="0074779E" w:rsidRDefault="00D62A71" w:rsidP="0076200F">
      <w:pPr>
        <w:jc w:val="center"/>
        <w:rPr>
          <w:b/>
          <w:sz w:val="18"/>
          <w:szCs w:val="18"/>
          <w:u w:val="single"/>
          <w:lang w:val="ro-MD"/>
        </w:rPr>
      </w:pPr>
      <w:r w:rsidRPr="0074779E">
        <w:rPr>
          <w:sz w:val="18"/>
          <w:szCs w:val="18"/>
          <w:lang w:val="ro-MD"/>
        </w:rPr>
        <w:t xml:space="preserve">se depune ca </w:t>
      </w:r>
      <w:r w:rsidRPr="0074779E">
        <w:rPr>
          <w:b/>
          <w:sz w:val="18"/>
          <w:szCs w:val="18"/>
          <w:lang w:val="ro-MD"/>
        </w:rPr>
        <w:t>ANEXĂ la dosarul de licitație</w:t>
      </w:r>
    </w:p>
    <w:p w:rsidR="002139C6" w:rsidRPr="0074779E" w:rsidRDefault="00761F85">
      <w:pPr>
        <w:jc w:val="center"/>
        <w:rPr>
          <w:b/>
          <w:sz w:val="28"/>
          <w:szCs w:val="28"/>
          <w:lang w:val="ro-MD"/>
        </w:rPr>
      </w:pPr>
      <w:r>
        <w:rPr>
          <w:snapToGrid/>
          <w:sz w:val="22"/>
          <w:szCs w:val="22"/>
          <w:lang w:val="ro-MD"/>
        </w:rPr>
        <w:pict>
          <v:line id="_x0000_s1028" style="position:absolute;left:0;text-align:left;z-index:3" from="-4.5pt,2.2pt" to="463.5pt,2.25pt" o:allowincell="f" strokecolor="#d4d4d4" strokeweight="1.75pt">
            <v:shadow on="t" origin=",32385f" offset="0,-1pt"/>
          </v:line>
        </w:pict>
      </w:r>
      <w:r w:rsidR="002139C6" w:rsidRPr="0074779E">
        <w:rPr>
          <w:b/>
          <w:sz w:val="28"/>
          <w:szCs w:val="28"/>
          <w:lang w:val="ro-MD"/>
        </w:rPr>
        <w:t>ANUNȚ DE</w:t>
      </w:r>
      <w:r w:rsidR="00B32DD7" w:rsidRPr="0074779E">
        <w:rPr>
          <w:b/>
          <w:sz w:val="28"/>
          <w:szCs w:val="28"/>
          <w:lang w:val="ro-MD"/>
        </w:rPr>
        <w:t>SPRE</w:t>
      </w:r>
      <w:r w:rsidR="002139C6" w:rsidRPr="0074779E">
        <w:rPr>
          <w:b/>
          <w:sz w:val="28"/>
          <w:szCs w:val="28"/>
          <w:lang w:val="ro-MD"/>
        </w:rPr>
        <w:t xml:space="preserve"> CONTRACTUL DE LUCRĂRI</w:t>
      </w:r>
    </w:p>
    <w:p w:rsidR="0074779E" w:rsidRPr="0074779E" w:rsidRDefault="0074779E" w:rsidP="0076200F">
      <w:pPr>
        <w:jc w:val="center"/>
        <w:rPr>
          <w:b/>
          <w:sz w:val="22"/>
          <w:szCs w:val="22"/>
          <w:lang w:val="ro-MD"/>
        </w:rPr>
      </w:pPr>
      <w:r w:rsidRPr="0074779E">
        <w:rPr>
          <w:i/>
          <w:color w:val="000000"/>
          <w:szCs w:val="24"/>
          <w:lang w:val="ro-MD"/>
        </w:rPr>
        <w:t>Lucrări de reparație a Muzeului de istorie și etnografie din s. Ciuciuleni</w:t>
      </w:r>
      <w:r w:rsidRPr="0074779E">
        <w:rPr>
          <w:b/>
          <w:sz w:val="22"/>
          <w:szCs w:val="22"/>
          <w:lang w:val="ro-MD"/>
        </w:rPr>
        <w:t xml:space="preserve"> </w:t>
      </w:r>
    </w:p>
    <w:p w:rsidR="0074779E" w:rsidRPr="0074779E" w:rsidRDefault="0074779E" w:rsidP="0074779E">
      <w:pPr>
        <w:jc w:val="center"/>
        <w:rPr>
          <w:sz w:val="22"/>
          <w:szCs w:val="22"/>
          <w:lang w:val="ro-MD"/>
        </w:rPr>
      </w:pPr>
      <w:r w:rsidRPr="0074779E">
        <w:rPr>
          <w:b/>
          <w:sz w:val="22"/>
          <w:szCs w:val="22"/>
          <w:lang w:val="ro-MD"/>
        </w:rPr>
        <w:t>RAIONUL HINCESTI, REPUBLICA MOLDOVA</w:t>
      </w:r>
    </w:p>
    <w:p w:rsidR="002139C6" w:rsidRPr="0074779E" w:rsidRDefault="00D62A71" w:rsidP="00805EFA">
      <w:pPr>
        <w:pStyle w:val="PRAGHeading2"/>
        <w:rPr>
          <w:rStyle w:val="Strong"/>
          <w:sz w:val="22"/>
          <w:szCs w:val="22"/>
          <w:lang w:val="ro-MD"/>
        </w:rPr>
      </w:pPr>
      <w:r w:rsidRPr="0074779E">
        <w:rPr>
          <w:rStyle w:val="Strong"/>
          <w:sz w:val="22"/>
          <w:szCs w:val="22"/>
          <w:lang w:val="ro-MD"/>
        </w:rPr>
        <w:t>Referinţă</w:t>
      </w:r>
    </w:p>
    <w:p w:rsidR="002139C6" w:rsidRPr="0074779E" w:rsidRDefault="0074779E" w:rsidP="00805EFA">
      <w:pPr>
        <w:ind w:left="709"/>
        <w:rPr>
          <w:sz w:val="22"/>
          <w:szCs w:val="22"/>
          <w:lang w:val="ro-MD"/>
        </w:rPr>
      </w:pPr>
      <w:r w:rsidRPr="0074779E">
        <w:rPr>
          <w:sz w:val="22"/>
          <w:szCs w:val="22"/>
          <w:lang w:val="ro-MD"/>
        </w:rPr>
        <w:t>1HARD/2.1/107/WS01</w:t>
      </w:r>
    </w:p>
    <w:p w:rsidR="002139C6" w:rsidRPr="0074779E" w:rsidRDefault="002139C6" w:rsidP="00805EFA">
      <w:pPr>
        <w:pStyle w:val="PRAGHeading2"/>
        <w:rPr>
          <w:rStyle w:val="Strong"/>
          <w:sz w:val="22"/>
          <w:szCs w:val="22"/>
          <w:lang w:val="ro-MD"/>
        </w:rPr>
      </w:pPr>
      <w:r w:rsidRPr="0074779E">
        <w:rPr>
          <w:rStyle w:val="Strong"/>
          <w:sz w:val="22"/>
          <w:szCs w:val="22"/>
          <w:lang w:val="ro-MD"/>
        </w:rPr>
        <w:t>Procedură</w:t>
      </w:r>
    </w:p>
    <w:p w:rsidR="00B76C69" w:rsidRPr="0074779E" w:rsidRDefault="00ED60CD" w:rsidP="004C69BC">
      <w:pPr>
        <w:pStyle w:val="PRAGHeading2"/>
        <w:numPr>
          <w:ilvl w:val="0"/>
          <w:numId w:val="0"/>
        </w:numPr>
        <w:ind w:left="709"/>
        <w:rPr>
          <w:sz w:val="22"/>
          <w:szCs w:val="22"/>
          <w:lang w:val="ro-MD"/>
        </w:rPr>
      </w:pPr>
      <w:r w:rsidRPr="0074779E">
        <w:rPr>
          <w:sz w:val="22"/>
          <w:szCs w:val="22"/>
          <w:lang w:val="ro-MD"/>
        </w:rPr>
        <w:t xml:space="preserve"> </w:t>
      </w:r>
      <w:r w:rsidR="00B32DD7" w:rsidRPr="0074779E">
        <w:rPr>
          <w:sz w:val="22"/>
          <w:szCs w:val="22"/>
          <w:lang w:val="ro-MD"/>
        </w:rPr>
        <w:t>S</w:t>
      </w:r>
      <w:r w:rsidRPr="0074779E">
        <w:rPr>
          <w:sz w:val="22"/>
          <w:szCs w:val="22"/>
          <w:lang w:val="ro-MD"/>
        </w:rPr>
        <w:t>implificat</w:t>
      </w:r>
      <w:r w:rsidR="00B32DD7" w:rsidRPr="0074779E">
        <w:rPr>
          <w:sz w:val="22"/>
          <w:szCs w:val="22"/>
          <w:lang w:val="ro-MD"/>
        </w:rPr>
        <w:t>ă</w:t>
      </w:r>
    </w:p>
    <w:p w:rsidR="002139C6" w:rsidRPr="0074779E" w:rsidRDefault="002139C6" w:rsidP="00805EFA">
      <w:pPr>
        <w:pStyle w:val="PRAGHeading2"/>
        <w:rPr>
          <w:rStyle w:val="Strong"/>
          <w:sz w:val="22"/>
          <w:szCs w:val="22"/>
          <w:lang w:val="ro-MD"/>
        </w:rPr>
      </w:pPr>
      <w:r w:rsidRPr="0074779E">
        <w:rPr>
          <w:rStyle w:val="Strong"/>
          <w:sz w:val="22"/>
          <w:szCs w:val="22"/>
          <w:lang w:val="ro-MD"/>
        </w:rPr>
        <w:t>Titlul programului</w:t>
      </w:r>
    </w:p>
    <w:p w:rsidR="0074779E" w:rsidRPr="0074779E" w:rsidRDefault="0074779E" w:rsidP="0074779E">
      <w:pPr>
        <w:pStyle w:val="PRAGHeading2"/>
        <w:numPr>
          <w:ilvl w:val="0"/>
          <w:numId w:val="0"/>
        </w:numPr>
        <w:ind w:left="284" w:firstLine="436"/>
        <w:rPr>
          <w:lang w:val="ro-MD"/>
        </w:rPr>
      </w:pPr>
      <w:r w:rsidRPr="0074779E">
        <w:rPr>
          <w:lang w:val="ro-MD"/>
        </w:rPr>
        <w:t>Programul Operațional Comun România – Republica Moldova 2014-2020</w:t>
      </w:r>
      <w:r w:rsidR="0063149F">
        <w:rPr>
          <w:lang w:val="ro-MD"/>
        </w:rPr>
        <w:t>.</w:t>
      </w:r>
    </w:p>
    <w:p w:rsidR="002139C6" w:rsidRPr="0074779E" w:rsidRDefault="002139C6" w:rsidP="00BD63A4">
      <w:pPr>
        <w:pStyle w:val="PRAGHeading2"/>
        <w:jc w:val="both"/>
        <w:rPr>
          <w:rStyle w:val="Strong"/>
          <w:sz w:val="22"/>
          <w:szCs w:val="22"/>
          <w:lang w:val="ro-MD"/>
        </w:rPr>
      </w:pPr>
      <w:r w:rsidRPr="0074779E">
        <w:rPr>
          <w:rStyle w:val="Strong"/>
          <w:sz w:val="22"/>
          <w:szCs w:val="22"/>
          <w:lang w:val="ro-MD"/>
        </w:rPr>
        <w:t>Finanțare</w:t>
      </w:r>
    </w:p>
    <w:p w:rsidR="00D275AD" w:rsidRPr="0074779E" w:rsidRDefault="0074779E" w:rsidP="0074779E">
      <w:pPr>
        <w:pStyle w:val="PRAGHeading2"/>
        <w:numPr>
          <w:ilvl w:val="0"/>
          <w:numId w:val="0"/>
        </w:numPr>
        <w:ind w:left="709"/>
        <w:jc w:val="both"/>
        <w:rPr>
          <w:lang w:val="ro-MD"/>
        </w:rPr>
      </w:pPr>
      <w:r w:rsidRPr="0074779E">
        <w:rPr>
          <w:lang w:val="ro-MD"/>
        </w:rPr>
        <w:t>Acest proiect este finanțat de Uniunea Europeană, în conformitate cu regulile Programului Operațional Comun România-Republica Moldova 2014-2020 și cu Regulamentul (UE) Nr. 236/2014. Acest proiect este cofinanțat de Consiliul Raional Hîncești.</w:t>
      </w:r>
      <w:r w:rsidR="00D275AD" w:rsidRPr="0074779E">
        <w:rPr>
          <w:sz w:val="22"/>
          <w:szCs w:val="22"/>
          <w:lang w:val="ro-MD"/>
        </w:rPr>
        <w:t xml:space="preserve"> </w:t>
      </w:r>
      <w:r w:rsidR="0022653F" w:rsidRPr="0074779E">
        <w:rPr>
          <w:sz w:val="22"/>
          <w:szCs w:val="22"/>
          <w:lang w:val="ro-MD"/>
        </w:rPr>
        <w:t xml:space="preserve"> </w:t>
      </w:r>
    </w:p>
    <w:p w:rsidR="002139C6" w:rsidRPr="0074779E" w:rsidRDefault="002139C6" w:rsidP="00BD63A4">
      <w:pPr>
        <w:pStyle w:val="PRAGHeading2"/>
        <w:jc w:val="both"/>
        <w:rPr>
          <w:rStyle w:val="Strong"/>
          <w:sz w:val="22"/>
          <w:szCs w:val="22"/>
          <w:lang w:val="ro-MD"/>
        </w:rPr>
      </w:pPr>
      <w:r w:rsidRPr="0074779E">
        <w:rPr>
          <w:rStyle w:val="Strong"/>
          <w:sz w:val="22"/>
          <w:szCs w:val="22"/>
          <w:lang w:val="ro-MD"/>
        </w:rPr>
        <w:t>Autoritatea contractanta</w:t>
      </w:r>
    </w:p>
    <w:p w:rsidR="0074779E" w:rsidRPr="0074779E" w:rsidRDefault="009C65D6" w:rsidP="0074779E">
      <w:pPr>
        <w:snapToGrid w:val="0"/>
        <w:ind w:left="709"/>
        <w:rPr>
          <w:sz w:val="22"/>
          <w:szCs w:val="22"/>
          <w:lang w:val="ro-MD"/>
        </w:rPr>
      </w:pPr>
      <w:r w:rsidRPr="0074779E">
        <w:rPr>
          <w:sz w:val="22"/>
          <w:szCs w:val="22"/>
          <w:lang w:val="ro-MD"/>
        </w:rPr>
        <w:tab/>
      </w:r>
      <w:r w:rsidR="0074779E" w:rsidRPr="0074779E">
        <w:rPr>
          <w:sz w:val="22"/>
          <w:szCs w:val="22"/>
          <w:lang w:val="ro-MD"/>
        </w:rPr>
        <w:t>Republica Moldova</w:t>
      </w:r>
    </w:p>
    <w:p w:rsidR="006C703D" w:rsidRPr="0074779E" w:rsidRDefault="0074779E" w:rsidP="0074779E">
      <w:pPr>
        <w:snapToGrid w:val="0"/>
        <w:ind w:left="709"/>
        <w:jc w:val="both"/>
        <w:rPr>
          <w:sz w:val="22"/>
          <w:szCs w:val="22"/>
          <w:lang w:val="ro-MD"/>
        </w:rPr>
      </w:pPr>
      <w:r w:rsidRPr="0074779E">
        <w:rPr>
          <w:sz w:val="22"/>
          <w:szCs w:val="22"/>
          <w:lang w:val="ro-MD"/>
        </w:rPr>
        <w:t>Consiliul Raional Hînceşti, str. Mihalcea Hîncu nr.138, MD – 3401, municipiul Hînceşti, Raionul Hînceşti</w:t>
      </w:r>
    </w:p>
    <w:p w:rsidR="002139C6" w:rsidRPr="0074779E" w:rsidRDefault="00761F85">
      <w:pPr>
        <w:ind w:left="360"/>
        <w:jc w:val="center"/>
        <w:rPr>
          <w:rStyle w:val="Strong"/>
          <w:sz w:val="22"/>
          <w:szCs w:val="22"/>
          <w:lang w:val="ro-MD"/>
        </w:rPr>
      </w:pPr>
      <w:r>
        <w:rPr>
          <w:b/>
          <w:noProof/>
          <w:snapToGrid/>
          <w:sz w:val="22"/>
          <w:szCs w:val="22"/>
          <w:lang w:val="ro-MD" w:eastAsia="en-GB"/>
        </w:rPr>
        <w:pict>
          <v:line id="_x0000_s1030" style="position:absolute;left:0;text-align:left;z-index:6" from="2.25pt,-.45pt" to="470.25pt,-.4pt" o:allowincell="f" strokecolor="#d4d4d4" strokeweight="1.75pt">
            <v:shadow on="t" origin=",32385f" offset="0,-1pt"/>
          </v:line>
        </w:pict>
      </w:r>
      <w:r w:rsidR="002139C6" w:rsidRPr="0074779E">
        <w:rPr>
          <w:rStyle w:val="Strong"/>
          <w:sz w:val="22"/>
          <w:szCs w:val="22"/>
          <w:lang w:val="ro-MD"/>
        </w:rPr>
        <w:t>SPECIFICAȚII</w:t>
      </w:r>
      <w:r w:rsidR="00A87FE3" w:rsidRPr="0074779E">
        <w:rPr>
          <w:rStyle w:val="Strong"/>
          <w:sz w:val="22"/>
          <w:szCs w:val="22"/>
          <w:lang w:val="ro-MD"/>
        </w:rPr>
        <w:t xml:space="preserve"> PRIVIND</w:t>
      </w:r>
      <w:r w:rsidR="002139C6" w:rsidRPr="0074779E">
        <w:rPr>
          <w:rStyle w:val="Strong"/>
          <w:sz w:val="22"/>
          <w:szCs w:val="22"/>
          <w:lang w:val="ro-MD"/>
        </w:rPr>
        <w:t xml:space="preserve"> CONTRACTUL</w:t>
      </w:r>
    </w:p>
    <w:p w:rsidR="00D62A71" w:rsidRPr="0074779E" w:rsidRDefault="00D62A71" w:rsidP="00805EFA">
      <w:pPr>
        <w:pStyle w:val="PRAGHeading2"/>
        <w:rPr>
          <w:rStyle w:val="Strong"/>
          <w:sz w:val="22"/>
          <w:szCs w:val="22"/>
          <w:lang w:val="ro-MD"/>
        </w:rPr>
      </w:pPr>
      <w:r w:rsidRPr="0074779E">
        <w:rPr>
          <w:rStyle w:val="Strong"/>
          <w:sz w:val="22"/>
          <w:szCs w:val="22"/>
          <w:lang w:val="ro-MD"/>
        </w:rPr>
        <w:t>Natura contractului</w:t>
      </w:r>
    </w:p>
    <w:p w:rsidR="00D62A71" w:rsidRPr="0074779E" w:rsidRDefault="00A87FE3" w:rsidP="00D62A71">
      <w:pPr>
        <w:pStyle w:val="PRAGHeading2"/>
        <w:numPr>
          <w:ilvl w:val="0"/>
          <w:numId w:val="0"/>
        </w:numPr>
        <w:ind w:left="720"/>
        <w:rPr>
          <w:rStyle w:val="Strong"/>
          <w:b w:val="0"/>
          <w:sz w:val="22"/>
          <w:szCs w:val="22"/>
          <w:lang w:val="ro-MD"/>
        </w:rPr>
      </w:pPr>
      <w:r w:rsidRPr="0074779E">
        <w:rPr>
          <w:rStyle w:val="Strong"/>
          <w:b w:val="0"/>
          <w:sz w:val="22"/>
          <w:szCs w:val="22"/>
          <w:lang w:val="ro-MD"/>
        </w:rPr>
        <w:t xml:space="preserve">Contract cu sumă </w:t>
      </w:r>
      <w:r w:rsidR="00AD0BF2" w:rsidRPr="0074779E">
        <w:rPr>
          <w:rStyle w:val="Strong"/>
          <w:b w:val="0"/>
          <w:sz w:val="22"/>
          <w:szCs w:val="22"/>
          <w:lang w:val="ro-MD"/>
        </w:rPr>
        <w:t>forfetară</w:t>
      </w:r>
      <w:r w:rsidR="0074779E">
        <w:rPr>
          <w:rStyle w:val="Strong"/>
          <w:b w:val="0"/>
          <w:sz w:val="22"/>
          <w:szCs w:val="22"/>
          <w:lang w:val="ro-MD"/>
        </w:rPr>
        <w:t>.</w:t>
      </w:r>
    </w:p>
    <w:p w:rsidR="002139C6" w:rsidRPr="0074779E" w:rsidRDefault="002139C6" w:rsidP="00805EFA">
      <w:pPr>
        <w:pStyle w:val="PRAGHeading2"/>
        <w:rPr>
          <w:rStyle w:val="Strong"/>
          <w:sz w:val="22"/>
          <w:szCs w:val="22"/>
          <w:lang w:val="ro-MD"/>
        </w:rPr>
      </w:pPr>
      <w:r w:rsidRPr="0074779E">
        <w:rPr>
          <w:rStyle w:val="Strong"/>
          <w:sz w:val="22"/>
          <w:szCs w:val="22"/>
          <w:lang w:val="ro-MD"/>
        </w:rPr>
        <w:t>Descrierea contractului</w:t>
      </w:r>
    </w:p>
    <w:p w:rsidR="0074779E" w:rsidRPr="0074779E" w:rsidRDefault="0074779E" w:rsidP="0074779E">
      <w:pPr>
        <w:pStyle w:val="PRAGHeading2"/>
        <w:numPr>
          <w:ilvl w:val="0"/>
          <w:numId w:val="0"/>
        </w:numPr>
        <w:ind w:left="709" w:firstLine="11"/>
        <w:jc w:val="both"/>
        <w:rPr>
          <w:sz w:val="22"/>
          <w:szCs w:val="22"/>
          <w:lang w:val="ro-MD"/>
        </w:rPr>
      </w:pPr>
      <w:r w:rsidRPr="0074779E">
        <w:rPr>
          <w:lang w:val="ro-MD"/>
        </w:rPr>
        <w:t>Lucrări de reparație a Muzeului de istorie și etnografie din s. Ciuciuleni</w:t>
      </w:r>
      <w:r>
        <w:rPr>
          <w:b/>
          <w:sz w:val="22"/>
          <w:szCs w:val="22"/>
          <w:lang w:val="ro-MD"/>
        </w:rPr>
        <w:t xml:space="preserve"> î</w:t>
      </w:r>
      <w:r w:rsidRPr="0074779E">
        <w:rPr>
          <w:sz w:val="22"/>
          <w:szCs w:val="22"/>
          <w:lang w:val="ro-MD"/>
        </w:rPr>
        <w:t xml:space="preserve">n cadrul proiectului </w:t>
      </w:r>
      <w:r w:rsidRPr="0074779E">
        <w:rPr>
          <w:i/>
          <w:color w:val="000000"/>
          <w:szCs w:val="24"/>
          <w:lang w:val="ro-MD"/>
        </w:rPr>
        <w:t>„Let's discover Stefan cel Mare traces together”</w:t>
      </w:r>
      <w:r>
        <w:rPr>
          <w:i/>
          <w:color w:val="000000"/>
          <w:szCs w:val="24"/>
          <w:lang w:val="ro-MD"/>
        </w:rPr>
        <w:t>/„Pe</w:t>
      </w:r>
      <w:r w:rsidRPr="00BA623C">
        <w:rPr>
          <w:i/>
          <w:color w:val="000000"/>
          <w:szCs w:val="24"/>
          <w:lang w:val="ro-MD"/>
        </w:rPr>
        <w:t xml:space="preserve"> urmele lui Ș</w:t>
      </w:r>
      <w:r>
        <w:rPr>
          <w:i/>
          <w:color w:val="000000"/>
          <w:szCs w:val="24"/>
          <w:lang w:val="ro-MD"/>
        </w:rPr>
        <w:t>t</w:t>
      </w:r>
      <w:r w:rsidRPr="00BA623C">
        <w:rPr>
          <w:i/>
          <w:color w:val="000000"/>
          <w:szCs w:val="24"/>
          <w:lang w:val="ro-MD"/>
        </w:rPr>
        <w:t>efan cel Mare</w:t>
      </w:r>
      <w:r>
        <w:rPr>
          <w:i/>
          <w:color w:val="000000"/>
          <w:szCs w:val="24"/>
          <w:lang w:val="ro-MD"/>
        </w:rPr>
        <w:t xml:space="preserve"> 1HARD/2.1./107.</w:t>
      </w:r>
    </w:p>
    <w:p w:rsidR="00B24E1F" w:rsidRPr="0074779E" w:rsidRDefault="00B24E1F" w:rsidP="00B24E1F">
      <w:pPr>
        <w:pStyle w:val="PRAGHeading2"/>
        <w:rPr>
          <w:rStyle w:val="Strong"/>
          <w:sz w:val="22"/>
          <w:szCs w:val="22"/>
          <w:lang w:val="ro-MD"/>
        </w:rPr>
      </w:pPr>
      <w:r w:rsidRPr="0074779E">
        <w:rPr>
          <w:rStyle w:val="Strong"/>
          <w:sz w:val="22"/>
          <w:szCs w:val="22"/>
          <w:lang w:val="ro-MD"/>
        </w:rPr>
        <w:t>Data provizorie de începere a contractului</w:t>
      </w:r>
    </w:p>
    <w:p w:rsidR="00B24E1F" w:rsidRPr="0074779E" w:rsidRDefault="0074779E" w:rsidP="00B24E1F">
      <w:pPr>
        <w:ind w:left="709"/>
        <w:rPr>
          <w:color w:val="FF0000"/>
          <w:sz w:val="22"/>
          <w:szCs w:val="22"/>
          <w:lang w:val="ro-MD"/>
        </w:rPr>
      </w:pPr>
      <w:r>
        <w:rPr>
          <w:color w:val="FF0000"/>
          <w:sz w:val="22"/>
          <w:szCs w:val="22"/>
          <w:lang w:val="ro-MD"/>
        </w:rPr>
        <w:t>01.03.2022</w:t>
      </w:r>
    </w:p>
    <w:p w:rsidR="002E09EF" w:rsidRPr="0074779E" w:rsidRDefault="002E09EF" w:rsidP="002E09EF">
      <w:pPr>
        <w:pStyle w:val="PRAGHeading2"/>
        <w:rPr>
          <w:rStyle w:val="Strong"/>
          <w:b w:val="0"/>
          <w:sz w:val="22"/>
          <w:szCs w:val="22"/>
          <w:lang w:val="ro-MD"/>
        </w:rPr>
      </w:pPr>
      <w:r w:rsidRPr="0074779E">
        <w:rPr>
          <w:rStyle w:val="Strong"/>
          <w:sz w:val="22"/>
          <w:szCs w:val="22"/>
          <w:lang w:val="ro-MD"/>
        </w:rPr>
        <w:t>P</w:t>
      </w:r>
      <w:r w:rsidRPr="0074779E">
        <w:rPr>
          <w:b/>
          <w:sz w:val="22"/>
          <w:szCs w:val="22"/>
          <w:lang w:val="ro-MD"/>
        </w:rPr>
        <w:t>erioada de implementare a sarcinilor</w:t>
      </w:r>
    </w:p>
    <w:p w:rsidR="002E09EF" w:rsidRPr="0074779E" w:rsidRDefault="0074779E" w:rsidP="002E09EF">
      <w:pPr>
        <w:ind w:left="709"/>
        <w:rPr>
          <w:b/>
          <w:color w:val="FF0000"/>
          <w:sz w:val="22"/>
          <w:szCs w:val="22"/>
          <w:lang w:val="ro-MD"/>
        </w:rPr>
      </w:pPr>
      <w:r w:rsidRPr="0074779E">
        <w:rPr>
          <w:b/>
          <w:color w:val="FF0000"/>
          <w:sz w:val="22"/>
          <w:szCs w:val="22"/>
          <w:highlight w:val="yellow"/>
          <w:lang w:val="ro-MD"/>
        </w:rPr>
        <w:lastRenderedPageBreak/>
        <w:t xml:space="preserve">01.03.2022 – </w:t>
      </w:r>
      <w:r w:rsidR="0063149F">
        <w:rPr>
          <w:b/>
          <w:color w:val="FF0000"/>
          <w:sz w:val="22"/>
          <w:szCs w:val="22"/>
          <w:highlight w:val="yellow"/>
          <w:lang w:val="ro-MD"/>
        </w:rPr>
        <w:t>28</w:t>
      </w:r>
      <w:r w:rsidRPr="0074779E">
        <w:rPr>
          <w:b/>
          <w:color w:val="FF0000"/>
          <w:sz w:val="22"/>
          <w:szCs w:val="22"/>
          <w:highlight w:val="yellow"/>
          <w:lang w:val="ro-MD"/>
        </w:rPr>
        <w:t>.0</w:t>
      </w:r>
      <w:r w:rsidR="0063149F">
        <w:rPr>
          <w:b/>
          <w:color w:val="FF0000"/>
          <w:sz w:val="22"/>
          <w:szCs w:val="22"/>
          <w:highlight w:val="yellow"/>
          <w:lang w:val="ro-MD"/>
        </w:rPr>
        <w:t>2</w:t>
      </w:r>
      <w:r w:rsidRPr="0074779E">
        <w:rPr>
          <w:b/>
          <w:color w:val="FF0000"/>
          <w:sz w:val="22"/>
          <w:szCs w:val="22"/>
          <w:highlight w:val="yellow"/>
          <w:lang w:val="ro-MD"/>
        </w:rPr>
        <w:t>.2023</w:t>
      </w:r>
    </w:p>
    <w:p w:rsidR="00B24E1F" w:rsidRPr="0074779E" w:rsidRDefault="00B24E1F" w:rsidP="00D62A71">
      <w:pPr>
        <w:ind w:left="709"/>
        <w:rPr>
          <w:sz w:val="22"/>
          <w:szCs w:val="22"/>
          <w:lang w:val="ro-MD"/>
        </w:rPr>
      </w:pPr>
    </w:p>
    <w:p w:rsidR="002139C6" w:rsidRPr="0074779E" w:rsidRDefault="00761F85">
      <w:pPr>
        <w:ind w:left="360"/>
        <w:jc w:val="center"/>
        <w:rPr>
          <w:rStyle w:val="Strong"/>
          <w:sz w:val="22"/>
          <w:szCs w:val="22"/>
          <w:lang w:val="ro-MD"/>
        </w:rPr>
      </w:pPr>
      <w:r>
        <w:rPr>
          <w:b/>
          <w:noProof/>
          <w:snapToGrid/>
          <w:sz w:val="22"/>
          <w:szCs w:val="22"/>
          <w:lang w:val="ro-MD" w:eastAsia="en-GB"/>
        </w:rPr>
        <w:pict>
          <v:line id="_x0000_s1029" style="position:absolute;left:0;text-align:left;z-index:4" from="2.25pt,.9pt" to="470.25pt,.95pt" o:allowincell="f" strokecolor="#d4d4d4" strokeweight="1.75pt">
            <v:shadow on="t" origin=",32385f" offset="0,-1pt"/>
          </v:line>
        </w:pict>
      </w:r>
      <w:r w:rsidR="002139C6" w:rsidRPr="0074779E">
        <w:rPr>
          <w:rStyle w:val="Strong"/>
          <w:sz w:val="22"/>
          <w:szCs w:val="22"/>
          <w:lang w:val="ro-MD"/>
        </w:rPr>
        <w:t>CONDIȚII DE PARTICIPARE</w:t>
      </w:r>
    </w:p>
    <w:p w:rsidR="002139C6" w:rsidRPr="0074779E" w:rsidRDefault="002139C6" w:rsidP="00805EFA">
      <w:pPr>
        <w:pStyle w:val="PRAGHeading2"/>
        <w:rPr>
          <w:rStyle w:val="Strong"/>
          <w:sz w:val="22"/>
          <w:szCs w:val="22"/>
          <w:lang w:val="ro-MD"/>
        </w:rPr>
      </w:pPr>
      <w:r w:rsidRPr="0074779E">
        <w:rPr>
          <w:rStyle w:val="Strong"/>
          <w:sz w:val="22"/>
          <w:szCs w:val="22"/>
          <w:lang w:val="ro-MD"/>
        </w:rPr>
        <w:t>Eligibilitate și reguli de origine</w:t>
      </w:r>
    </w:p>
    <w:p w:rsidR="00BD11C0" w:rsidRPr="0074779E" w:rsidRDefault="00BD11C0" w:rsidP="004C69BC">
      <w:pPr>
        <w:pStyle w:val="PRAGHeading2"/>
        <w:numPr>
          <w:ilvl w:val="0"/>
          <w:numId w:val="0"/>
        </w:numPr>
        <w:ind w:left="709"/>
        <w:rPr>
          <w:sz w:val="22"/>
          <w:szCs w:val="22"/>
          <w:highlight w:val="yellow"/>
          <w:lang w:val="ro-MD"/>
        </w:rPr>
      </w:pPr>
      <w:r w:rsidRPr="0074779E">
        <w:rPr>
          <w:sz w:val="22"/>
          <w:szCs w:val="22"/>
          <w:lang w:val="ro-MD"/>
        </w:rPr>
        <w:t>Participarea la această procedură de licitație este deschisă numai ofertanților invitați.</w:t>
      </w:r>
    </w:p>
    <w:p w:rsidR="000158F3" w:rsidRPr="0074779E" w:rsidRDefault="000158F3" w:rsidP="00BD63A4">
      <w:pPr>
        <w:pStyle w:val="PRAGHeading2"/>
        <w:numPr>
          <w:ilvl w:val="0"/>
          <w:numId w:val="0"/>
        </w:numPr>
        <w:ind w:left="709"/>
        <w:jc w:val="both"/>
        <w:rPr>
          <w:sz w:val="22"/>
          <w:szCs w:val="22"/>
          <w:lang w:val="ro-MD"/>
        </w:rPr>
      </w:pPr>
      <w:r w:rsidRPr="0074779E">
        <w:rPr>
          <w:sz w:val="22"/>
          <w:szCs w:val="22"/>
          <w:lang w:val="ro-MD"/>
        </w:rPr>
        <w:t>Participarea este deschisă tuturor persoanelor fizice care sunt resortisanți și persoanelor juridice [participând fie individual, fie într-un grup (consorțiu) de ofertanți] care sunt efectiv stabilite într-un stat membru al Uniunii Europene sau într-o țară sau teritoriu eligibil, astfel cum este definit la Regulamentul (UE) nr. 236/2014 de stabilire a normelor și procedurilor comune pentru punerea în aplicare a instrumentelor de acțiune externă (CIR) ale Uniunii pentru instrumentul aplicabil în temeiul căruia este finanțat contractul (a se vedea și rubrica 17 de mai jos). Participarea este deschisă și organizațiilor internaționale. Toate bunurile achiziționate conform contractului trebuie să provină dintr-o țară sursă eligibilă, așa cum este definită mai sus. Cu toate acestea, bunurile care urmează să fie achiziționate pot proveni din orice țară, ori de câte ori prețul total al cantității estimate a acestor bunuri,</w:t>
      </w:r>
      <w:r w:rsidR="00C64126" w:rsidRPr="0074779E">
        <w:rPr>
          <w:sz w:val="22"/>
          <w:szCs w:val="22"/>
          <w:lang w:val="ro-MD"/>
        </w:rPr>
        <w:t xml:space="preserve"> așa cum se reflectă într-un articol separat din Defalcarea prețului forfetar (Volumul 4.2.3)</w:t>
      </w:r>
      <w:r w:rsidR="004A157C" w:rsidRPr="0074779E">
        <w:rPr>
          <w:sz w:val="22"/>
          <w:szCs w:val="22"/>
          <w:lang w:val="ro-MD"/>
        </w:rPr>
        <w:t xml:space="preserve">, </w:t>
      </w:r>
      <w:r w:rsidR="00C64126" w:rsidRPr="0074779E">
        <w:rPr>
          <w:sz w:val="22"/>
          <w:szCs w:val="22"/>
          <w:lang w:val="ro-MD"/>
        </w:rPr>
        <w:t xml:space="preserve"> este sub 100.000 EUR.</w:t>
      </w:r>
    </w:p>
    <w:p w:rsidR="002139C6" w:rsidRPr="0074779E" w:rsidRDefault="00B24E1F" w:rsidP="0076200F">
      <w:pPr>
        <w:pStyle w:val="PRAGHeading2"/>
        <w:keepNext/>
        <w:keepLines/>
        <w:jc w:val="both"/>
        <w:rPr>
          <w:rStyle w:val="Strong"/>
          <w:sz w:val="22"/>
          <w:szCs w:val="22"/>
          <w:lang w:val="ro-MD"/>
        </w:rPr>
      </w:pPr>
      <w:r w:rsidRPr="0074779E">
        <w:rPr>
          <w:rStyle w:val="Strong"/>
          <w:sz w:val="22"/>
          <w:szCs w:val="22"/>
          <w:lang w:val="ro-MD"/>
        </w:rPr>
        <w:t>Subcontractare</w:t>
      </w:r>
      <w:r w:rsidR="00271960" w:rsidRPr="0074779E">
        <w:rPr>
          <w:rStyle w:val="Strong"/>
          <w:sz w:val="22"/>
          <w:szCs w:val="22"/>
          <w:lang w:val="ro-MD"/>
        </w:rPr>
        <w:t>a</w:t>
      </w:r>
    </w:p>
    <w:p w:rsidR="00142110" w:rsidRPr="0074779E" w:rsidRDefault="00142110" w:rsidP="0076200F">
      <w:pPr>
        <w:pStyle w:val="PRAGHeading2"/>
        <w:keepNext/>
        <w:keepLines/>
        <w:numPr>
          <w:ilvl w:val="0"/>
          <w:numId w:val="0"/>
        </w:numPr>
        <w:ind w:left="720"/>
        <w:jc w:val="both"/>
        <w:rPr>
          <w:rStyle w:val="Strong"/>
          <w:b w:val="0"/>
          <w:sz w:val="22"/>
          <w:szCs w:val="22"/>
          <w:lang w:val="ro-MD"/>
        </w:rPr>
      </w:pPr>
      <w:r w:rsidRPr="0074779E">
        <w:rPr>
          <w:rStyle w:val="Strong"/>
          <w:b w:val="0"/>
          <w:sz w:val="22"/>
          <w:szCs w:val="22"/>
          <w:lang w:val="ro-MD"/>
        </w:rPr>
        <w:t>Subcontractarea e</w:t>
      </w:r>
      <w:r w:rsidR="00B24E1F" w:rsidRPr="0074779E">
        <w:rPr>
          <w:rStyle w:val="Strong"/>
          <w:b w:val="0"/>
          <w:sz w:val="22"/>
          <w:szCs w:val="22"/>
          <w:lang w:val="ro-MD"/>
        </w:rPr>
        <w:t xml:space="preserve">ste permisă. </w:t>
      </w:r>
      <w:r w:rsidRPr="0074779E">
        <w:rPr>
          <w:rStyle w:val="Strong"/>
          <w:b w:val="0"/>
          <w:sz w:val="22"/>
          <w:szCs w:val="22"/>
          <w:lang w:val="ro-MD"/>
        </w:rPr>
        <w:t>Limita superioară autorizată pentru subcontractare este de 50% din valoarea ofertei.</w:t>
      </w:r>
    </w:p>
    <w:p w:rsidR="00B24E1F" w:rsidRPr="0074779E" w:rsidRDefault="00BD63A4" w:rsidP="0076200F">
      <w:pPr>
        <w:pStyle w:val="PRAGHeading2"/>
        <w:keepNext/>
        <w:keepLines/>
        <w:numPr>
          <w:ilvl w:val="0"/>
          <w:numId w:val="0"/>
        </w:numPr>
        <w:ind w:left="720"/>
        <w:jc w:val="both"/>
        <w:rPr>
          <w:rStyle w:val="Strong"/>
          <w:sz w:val="22"/>
          <w:szCs w:val="22"/>
          <w:lang w:val="ro-MD"/>
        </w:rPr>
      </w:pPr>
      <w:r w:rsidRPr="0074779E">
        <w:rPr>
          <w:sz w:val="22"/>
          <w:szCs w:val="22"/>
          <w:lang w:val="ro-MD"/>
        </w:rPr>
        <w:t>Subcontractanții, furnizorii și entitățile</w:t>
      </w:r>
      <w:r w:rsidR="00142110" w:rsidRPr="0074779E">
        <w:rPr>
          <w:sz w:val="22"/>
          <w:szCs w:val="22"/>
          <w:lang w:val="ro-MD"/>
        </w:rPr>
        <w:t>,</w:t>
      </w:r>
      <w:r w:rsidRPr="0074779E">
        <w:rPr>
          <w:sz w:val="22"/>
          <w:szCs w:val="22"/>
          <w:lang w:val="ro-MD"/>
        </w:rPr>
        <w:t xml:space="preserve"> pe a căror </w:t>
      </w:r>
      <w:r w:rsidR="00142110" w:rsidRPr="0074779E">
        <w:rPr>
          <w:sz w:val="22"/>
          <w:szCs w:val="22"/>
          <w:lang w:val="ro-MD"/>
        </w:rPr>
        <w:t xml:space="preserve">capacitate </w:t>
      </w:r>
      <w:r w:rsidRPr="0074779E">
        <w:rPr>
          <w:sz w:val="22"/>
          <w:szCs w:val="22"/>
          <w:lang w:val="ro-MD"/>
        </w:rPr>
        <w:t xml:space="preserve">se bazează ofertantul </w:t>
      </w:r>
      <w:r w:rsidR="00142110" w:rsidRPr="0074779E">
        <w:rPr>
          <w:sz w:val="22"/>
          <w:szCs w:val="22"/>
          <w:lang w:val="ro-MD"/>
        </w:rPr>
        <w:t xml:space="preserve">în vederea corespunderii criteriilor </w:t>
      </w:r>
      <w:r w:rsidRPr="0074779E">
        <w:rPr>
          <w:sz w:val="22"/>
          <w:szCs w:val="22"/>
          <w:lang w:val="ro-MD"/>
        </w:rPr>
        <w:t>de selecție</w:t>
      </w:r>
      <w:r w:rsidR="00142110" w:rsidRPr="0074779E">
        <w:rPr>
          <w:sz w:val="22"/>
          <w:szCs w:val="22"/>
          <w:lang w:val="ro-MD"/>
        </w:rPr>
        <w:t xml:space="preserve">, </w:t>
      </w:r>
      <w:r w:rsidRPr="0074779E">
        <w:rPr>
          <w:sz w:val="22"/>
          <w:szCs w:val="22"/>
          <w:lang w:val="ro-MD"/>
        </w:rPr>
        <w:t xml:space="preserve"> trebuie să fie eligibili în ceea ce privește regulile privind naționalitatea și originea pentru programul de finanțare detaliat în secțiunea 10 de mai sus.</w:t>
      </w:r>
    </w:p>
    <w:p w:rsidR="00B24E1F" w:rsidRPr="0074779E" w:rsidRDefault="00B24E1F" w:rsidP="0076200F">
      <w:pPr>
        <w:pStyle w:val="PRAGHeading2"/>
        <w:jc w:val="both"/>
        <w:rPr>
          <w:rStyle w:val="Strong"/>
          <w:sz w:val="22"/>
          <w:szCs w:val="22"/>
          <w:lang w:val="ro-MD"/>
        </w:rPr>
      </w:pPr>
      <w:r w:rsidRPr="0074779E">
        <w:rPr>
          <w:rStyle w:val="Strong"/>
          <w:sz w:val="22"/>
          <w:szCs w:val="22"/>
          <w:lang w:val="ro-MD"/>
        </w:rPr>
        <w:t>Motive de excludere</w:t>
      </w:r>
    </w:p>
    <w:p w:rsidR="00142110" w:rsidRPr="0074779E" w:rsidRDefault="00142110" w:rsidP="00142110">
      <w:pPr>
        <w:keepNext/>
        <w:keepLines/>
        <w:ind w:left="709"/>
        <w:jc w:val="both"/>
        <w:rPr>
          <w:sz w:val="22"/>
          <w:szCs w:val="22"/>
          <w:lang w:val="ro-MD"/>
        </w:rPr>
      </w:pPr>
      <w:r w:rsidRPr="0074779E">
        <w:rPr>
          <w:sz w:val="22"/>
          <w:szCs w:val="22"/>
          <w:lang w:val="ro-MD"/>
        </w:rPr>
        <w:t xml:space="preserve">Persoanele fizice, societățile sau întreprinderile care se află într-o situație prevăzută la secțiunea 2.3.3.1 („excluderea de la participarea la procedurile de achiziții publice”) și la secțiunea 2.3.3.2 („respingerea unei anumite proceduri”) din Ghidul </w:t>
      </w:r>
      <w:r w:rsidR="00271960" w:rsidRPr="0074779E">
        <w:rPr>
          <w:sz w:val="22"/>
          <w:szCs w:val="22"/>
          <w:lang w:val="ro-MD"/>
        </w:rPr>
        <w:t>P</w:t>
      </w:r>
      <w:r w:rsidRPr="0074779E">
        <w:rPr>
          <w:sz w:val="22"/>
          <w:szCs w:val="22"/>
          <w:lang w:val="ro-MD"/>
        </w:rPr>
        <w:t xml:space="preserve">ractic nu au dreptul să să participe la această procedură de licitație sau să primească un contract. În cazul în care vor face acest lucru, oferta lor va fi considerată necorespunzătoare sau, respectiv, </w:t>
      </w:r>
      <w:r w:rsidR="0074779E" w:rsidRPr="0074779E">
        <w:rPr>
          <w:sz w:val="22"/>
          <w:szCs w:val="22"/>
          <w:lang w:val="ro-MD"/>
        </w:rPr>
        <w:t>contrară</w:t>
      </w:r>
      <w:r w:rsidR="00271960" w:rsidRPr="0074779E">
        <w:rPr>
          <w:sz w:val="22"/>
          <w:szCs w:val="22"/>
          <w:lang w:val="ro-MD"/>
        </w:rPr>
        <w:t xml:space="preserve"> regulilor</w:t>
      </w:r>
      <w:r w:rsidRPr="0074779E">
        <w:rPr>
          <w:sz w:val="22"/>
          <w:szCs w:val="22"/>
          <w:lang w:val="ro-MD"/>
        </w:rPr>
        <w:t xml:space="preserve">. Ofertanții trebuie să prezinte declarații care să ateste că nu se află în niciuna dintre situațiile de excludere enumerate în secțiunea 2.3.3 din Ghidul practic. Declarațiile trebuie să acopere toți membrii unei întreprinderi mixte/consorțiu. Ofertanții vinovați de declarații false pot suporta, de asemenea, sancțiuni financiare și excluderi, în conformitate cu secțiunea 2.3.4 din Ghidul </w:t>
      </w:r>
      <w:r w:rsidR="00271960" w:rsidRPr="0074779E">
        <w:rPr>
          <w:sz w:val="22"/>
          <w:szCs w:val="22"/>
          <w:lang w:val="ro-MD"/>
        </w:rPr>
        <w:t>P</w:t>
      </w:r>
      <w:r w:rsidRPr="0074779E">
        <w:rPr>
          <w:sz w:val="22"/>
          <w:szCs w:val="22"/>
          <w:lang w:val="ro-MD"/>
        </w:rPr>
        <w:t>ractic.</w:t>
      </w:r>
    </w:p>
    <w:p w:rsidR="00271960" w:rsidRPr="0074779E" w:rsidRDefault="00142110" w:rsidP="00142110">
      <w:pPr>
        <w:keepNext/>
        <w:keepLines/>
        <w:ind w:left="709"/>
        <w:jc w:val="both"/>
        <w:rPr>
          <w:sz w:val="22"/>
          <w:szCs w:val="22"/>
          <w:lang w:val="ro-MD"/>
        </w:rPr>
      </w:pPr>
      <w:r w:rsidRPr="0074779E">
        <w:rPr>
          <w:sz w:val="22"/>
          <w:szCs w:val="22"/>
          <w:lang w:val="ro-MD"/>
        </w:rPr>
        <w:t xml:space="preserve">Aceste situații de excludere se aplică tuturor membrilor unei asocieri în participație/consorțiu, tuturor subcontractanților și tuturor furnizorilor ofertanților, precum și tuturor entităților pe a căror </w:t>
      </w:r>
      <w:r w:rsidR="00271960" w:rsidRPr="0074779E">
        <w:rPr>
          <w:sz w:val="22"/>
          <w:szCs w:val="22"/>
          <w:lang w:val="ro-MD"/>
        </w:rPr>
        <w:t>capacitate</w:t>
      </w:r>
      <w:r w:rsidRPr="0074779E">
        <w:rPr>
          <w:sz w:val="22"/>
          <w:szCs w:val="22"/>
          <w:lang w:val="ro-MD"/>
        </w:rPr>
        <w:t xml:space="preserve"> se bazează ofertantul </w:t>
      </w:r>
      <w:r w:rsidR="00271960" w:rsidRPr="0074779E">
        <w:rPr>
          <w:sz w:val="22"/>
          <w:szCs w:val="22"/>
          <w:lang w:val="ro-MD"/>
        </w:rPr>
        <w:t xml:space="preserve">în vederea corespunderii </w:t>
      </w:r>
      <w:r w:rsidRPr="0074779E">
        <w:rPr>
          <w:sz w:val="22"/>
          <w:szCs w:val="22"/>
          <w:lang w:val="ro-MD"/>
        </w:rPr>
        <w:t>criteriil</w:t>
      </w:r>
      <w:r w:rsidR="00271960" w:rsidRPr="0074779E">
        <w:rPr>
          <w:sz w:val="22"/>
          <w:szCs w:val="22"/>
          <w:lang w:val="ro-MD"/>
        </w:rPr>
        <w:t>or</w:t>
      </w:r>
      <w:r w:rsidRPr="0074779E">
        <w:rPr>
          <w:sz w:val="22"/>
          <w:szCs w:val="22"/>
          <w:lang w:val="ro-MD"/>
        </w:rPr>
        <w:t xml:space="preserve"> de selecție.</w:t>
      </w:r>
    </w:p>
    <w:p w:rsidR="002139C6" w:rsidRPr="0074779E" w:rsidRDefault="002139C6" w:rsidP="00271960">
      <w:pPr>
        <w:pStyle w:val="PRAGHeading2"/>
        <w:rPr>
          <w:rStyle w:val="Strong"/>
          <w:sz w:val="22"/>
          <w:szCs w:val="22"/>
          <w:lang w:val="ro-MD"/>
        </w:rPr>
      </w:pPr>
      <w:r w:rsidRPr="0074779E">
        <w:rPr>
          <w:rStyle w:val="Strong"/>
          <w:sz w:val="22"/>
          <w:szCs w:val="22"/>
          <w:lang w:val="ro-MD"/>
        </w:rPr>
        <w:t>Numărul de licitații</w:t>
      </w:r>
    </w:p>
    <w:p w:rsidR="00EE2A34" w:rsidRPr="0074779E" w:rsidRDefault="002139C6" w:rsidP="0076200F">
      <w:pPr>
        <w:ind w:left="709"/>
        <w:jc w:val="both"/>
        <w:rPr>
          <w:sz w:val="22"/>
          <w:szCs w:val="22"/>
          <w:lang w:val="ro-MD"/>
        </w:rPr>
      </w:pPr>
      <w:r w:rsidRPr="0074779E">
        <w:rPr>
          <w:sz w:val="22"/>
          <w:szCs w:val="22"/>
          <w:lang w:val="ro-MD"/>
        </w:rPr>
        <w:t>Ofertanții pot depune o singură ofertă. Nu vor fi luate în considerare ofertele pentru părți ale lucrărilor. Ofertanții nu pot depune o ofertă pentru o variantă de soluție în plus față de oferta lor pentru lucrările cerute în dosarul de licitație.</w:t>
      </w:r>
      <w:r w:rsidR="00FE6F95" w:rsidRPr="0074779E">
        <w:rPr>
          <w:sz w:val="22"/>
          <w:szCs w:val="22"/>
          <w:lang w:val="ro-MD"/>
        </w:rPr>
        <w:t xml:space="preserve"> </w:t>
      </w:r>
    </w:p>
    <w:p w:rsidR="002139C6" w:rsidRPr="0074779E" w:rsidRDefault="00761F85" w:rsidP="0076200F">
      <w:pPr>
        <w:keepNext/>
        <w:keepLines/>
        <w:jc w:val="both"/>
        <w:rPr>
          <w:sz w:val="22"/>
          <w:szCs w:val="22"/>
          <w:lang w:val="ro-MD"/>
        </w:rPr>
      </w:pPr>
      <w:r>
        <w:rPr>
          <w:snapToGrid/>
          <w:sz w:val="22"/>
          <w:szCs w:val="22"/>
          <w:lang w:val="ro-MD"/>
        </w:rPr>
        <w:lastRenderedPageBreak/>
        <w:pict>
          <v:line id="_x0000_s1026" style="position:absolute;left:0;text-align:left;z-index:1" from="0,12pt" to="468pt,12.05pt" o:allowincell="f" strokecolor="#d4d4d4" strokeweight="1.75pt">
            <v:shadow on="t" origin=",32385f" offset="0,-1pt"/>
          </v:line>
        </w:pict>
      </w:r>
    </w:p>
    <w:p w:rsidR="002139C6" w:rsidRPr="0074779E" w:rsidRDefault="002139C6" w:rsidP="0076200F">
      <w:pPr>
        <w:keepNext/>
        <w:keepLines/>
        <w:ind w:left="360"/>
        <w:jc w:val="both"/>
        <w:rPr>
          <w:rStyle w:val="Strong"/>
          <w:sz w:val="22"/>
          <w:szCs w:val="22"/>
          <w:lang w:val="ro-MD"/>
        </w:rPr>
      </w:pPr>
      <w:r w:rsidRPr="0074779E">
        <w:rPr>
          <w:rStyle w:val="Strong"/>
          <w:sz w:val="22"/>
          <w:szCs w:val="22"/>
          <w:lang w:val="ro-MD"/>
        </w:rPr>
        <w:t>CRITERII DE SELECȚIE ȘI ATRIBUIRE</w:t>
      </w:r>
    </w:p>
    <w:p w:rsidR="00E17B77" w:rsidRPr="0074779E" w:rsidRDefault="002139C6" w:rsidP="0076200F">
      <w:pPr>
        <w:pStyle w:val="PRAGHeading2"/>
        <w:jc w:val="both"/>
        <w:rPr>
          <w:rStyle w:val="Strong"/>
          <w:sz w:val="22"/>
          <w:szCs w:val="22"/>
          <w:lang w:val="ro-MD"/>
        </w:rPr>
      </w:pPr>
      <w:r w:rsidRPr="0074779E">
        <w:rPr>
          <w:rStyle w:val="Strong"/>
          <w:sz w:val="22"/>
          <w:szCs w:val="22"/>
          <w:lang w:val="ro-MD"/>
        </w:rPr>
        <w:t>Criterii de selecție</w:t>
      </w:r>
    </w:p>
    <w:p w:rsidR="002B0469" w:rsidRPr="0074779E" w:rsidRDefault="002B0469" w:rsidP="0076200F">
      <w:pPr>
        <w:pStyle w:val="Heading3"/>
        <w:numPr>
          <w:ilvl w:val="0"/>
          <w:numId w:val="0"/>
        </w:numPr>
        <w:ind w:left="720"/>
        <w:rPr>
          <w:lang w:val="ro-MD"/>
        </w:rPr>
      </w:pPr>
      <w:r w:rsidRPr="0074779E">
        <w:rPr>
          <w:lang w:val="ro-MD"/>
        </w:rPr>
        <w:t>Pentru a fi eligibili pentru atribuirea contractului, ofertanții trebuie să prezinte dovezi că îndeplinesc criteriile de selecție. Dacă o ofertă este depusă de un consorțiu, cu excepția cazului în care este specificat, criteriile de selecție vor fi aplicate consorțiului în ansamblu.</w:t>
      </w:r>
    </w:p>
    <w:p w:rsidR="002B0469" w:rsidRPr="0074779E" w:rsidRDefault="002B0469" w:rsidP="0076200F">
      <w:pPr>
        <w:ind w:left="720"/>
        <w:jc w:val="both"/>
        <w:rPr>
          <w:sz w:val="22"/>
          <w:lang w:val="ro-MD"/>
        </w:rPr>
      </w:pPr>
      <w:r w:rsidRPr="0074779E">
        <w:rPr>
          <w:sz w:val="22"/>
          <w:lang w:val="ro-MD"/>
        </w:rPr>
        <w:t>Criteriile de selecție pentru fiecare ofertant sunt următoarele:</w:t>
      </w:r>
    </w:p>
    <w:p w:rsidR="00AE0692" w:rsidRPr="0074779E" w:rsidRDefault="00AE0692" w:rsidP="00AE0692">
      <w:pPr>
        <w:ind w:left="709"/>
        <w:jc w:val="both"/>
        <w:rPr>
          <w:sz w:val="22"/>
          <w:lang w:val="ro-MD"/>
        </w:rPr>
      </w:pPr>
      <w:r w:rsidRPr="0074779E">
        <w:rPr>
          <w:sz w:val="22"/>
          <w:lang w:val="ro-MD"/>
        </w:rPr>
        <w:t xml:space="preserve">Criteriile de selecție ar trebui să fie clare și nediscriminatorii și nu pot depăși domeniul de aplicare al contractului. Perioada de referință nu poate depăși ultimii 3 ani pentru capacitatea economică și financiară și nu poate depăși 8 ani pentru capacitatea profesională și tehnică. Luați în considerare ce documente doveditoare ar trebui solicitate pentru fiecare criteriu de selecție. A se vedea punctul 2.4.11 din Ghidul practic. </w:t>
      </w:r>
    </w:p>
    <w:p w:rsidR="00AE0692" w:rsidRPr="0074779E" w:rsidRDefault="00AE0692" w:rsidP="00AE0692">
      <w:pPr>
        <w:ind w:left="709"/>
        <w:rPr>
          <w:b/>
          <w:i/>
          <w:sz w:val="22"/>
          <w:szCs w:val="22"/>
          <w:lang w:val="ro-MD"/>
        </w:rPr>
      </w:pPr>
      <w:r w:rsidRPr="0074779E">
        <w:rPr>
          <w:b/>
          <w:i/>
          <w:sz w:val="22"/>
          <w:szCs w:val="22"/>
          <w:lang w:val="ro-MD"/>
        </w:rPr>
        <w:t xml:space="preserve">14.a   </w:t>
      </w:r>
      <w:r w:rsidRPr="0074779E">
        <w:rPr>
          <w:b/>
          <w:i/>
          <w:sz w:val="22"/>
          <w:szCs w:val="22"/>
          <w:u w:val="single"/>
          <w:lang w:val="ro-MD"/>
        </w:rPr>
        <w:t>Capacitatea economică și financiară a candidatului</w:t>
      </w:r>
      <w:r w:rsidRPr="0074779E">
        <w:rPr>
          <w:b/>
          <w:i/>
          <w:sz w:val="22"/>
          <w:szCs w:val="22"/>
          <w:lang w:val="ro-MD"/>
        </w:rPr>
        <w:t>:</w:t>
      </w:r>
    </w:p>
    <w:p w:rsidR="0016094F" w:rsidRPr="00761F85" w:rsidRDefault="0016094F" w:rsidP="0016094F">
      <w:pPr>
        <w:pStyle w:val="PRAGHeading2"/>
        <w:numPr>
          <w:ilvl w:val="0"/>
          <w:numId w:val="0"/>
        </w:numPr>
        <w:ind w:left="709"/>
        <w:jc w:val="both"/>
        <w:rPr>
          <w:b/>
          <w:color w:val="000000"/>
          <w:lang w:val="ro-MD" w:eastAsia="ro-RO"/>
        </w:rPr>
      </w:pPr>
      <w:r w:rsidRPr="00761F85">
        <w:rPr>
          <w:color w:val="000000"/>
          <w:lang w:val="ro-MD" w:eastAsia="ro-RO"/>
        </w:rPr>
        <w:t xml:space="preserve">Cifra de afaceri medie anuală a ofertantului în ultimii </w:t>
      </w:r>
      <w:r w:rsidRPr="00761F85">
        <w:rPr>
          <w:b/>
          <w:color w:val="000000"/>
          <w:lang w:val="ro-MD" w:eastAsia="ro-RO"/>
        </w:rPr>
        <w:t>3 ani</w:t>
      </w:r>
      <w:r w:rsidRPr="00761F85">
        <w:rPr>
          <w:color w:val="000000"/>
          <w:lang w:val="ro-MD" w:eastAsia="ro-RO"/>
        </w:rPr>
        <w:t xml:space="preserve"> trebuie să fie de cel puțin </w:t>
      </w:r>
      <w:r w:rsidR="009E73BD" w:rsidRPr="00761F85">
        <w:rPr>
          <w:color w:val="000000"/>
          <w:lang w:val="ro-MD" w:eastAsia="ro-RO"/>
        </w:rPr>
        <w:t>5</w:t>
      </w:r>
      <w:r w:rsidRPr="00761F85">
        <w:rPr>
          <w:b/>
          <w:color w:val="000000"/>
          <w:lang w:val="ro-MD" w:eastAsia="ro-RO"/>
        </w:rPr>
        <w:t xml:space="preserve"> 000 000 MDL.</w:t>
      </w:r>
    </w:p>
    <w:p w:rsidR="0016094F" w:rsidRPr="00761F85" w:rsidRDefault="0016094F" w:rsidP="0016094F">
      <w:pPr>
        <w:pStyle w:val="PRAGHeading2"/>
        <w:numPr>
          <w:ilvl w:val="0"/>
          <w:numId w:val="0"/>
        </w:numPr>
        <w:ind w:left="709"/>
        <w:jc w:val="both"/>
        <w:rPr>
          <w:b/>
          <w:color w:val="000000"/>
          <w:lang w:val="ro-MD" w:eastAsia="ro-RO"/>
        </w:rPr>
      </w:pPr>
      <w:r w:rsidRPr="00761F85">
        <w:rPr>
          <w:color w:val="000000"/>
          <w:lang w:val="ro-MD" w:eastAsia="ro-RO"/>
        </w:rPr>
        <w:t xml:space="preserve">Dacă este singurul ofertant, trebuie să aibă acces la credite suficiente și la alte facilități financiare pentru a acoperi fluxul de numerar necesar pe durata contractului. În orice caz, valoarea creditului disponibil trebuie să depășească echivalentul a </w:t>
      </w:r>
      <w:r w:rsidRPr="00761F85">
        <w:rPr>
          <w:b/>
          <w:color w:val="000000"/>
          <w:lang w:val="ro-MD" w:eastAsia="ro-RO"/>
        </w:rPr>
        <w:t>1 000 000 MDL.</w:t>
      </w:r>
    </w:p>
    <w:p w:rsidR="00AE0692" w:rsidRPr="00761F85" w:rsidRDefault="00AE0692" w:rsidP="00AE0692">
      <w:pPr>
        <w:ind w:left="709"/>
        <w:rPr>
          <w:i/>
          <w:color w:val="000000"/>
          <w:sz w:val="22"/>
          <w:szCs w:val="22"/>
          <w:lang w:val="ro-MD"/>
        </w:rPr>
      </w:pPr>
      <w:r w:rsidRPr="00761F85">
        <w:rPr>
          <w:b/>
          <w:i/>
          <w:color w:val="000000"/>
          <w:sz w:val="22"/>
          <w:szCs w:val="22"/>
          <w:lang w:val="ro-MD"/>
        </w:rPr>
        <w:t>14.b</w:t>
      </w:r>
      <w:r w:rsidRPr="00761F85">
        <w:rPr>
          <w:i/>
          <w:color w:val="000000"/>
          <w:sz w:val="22"/>
          <w:szCs w:val="22"/>
          <w:lang w:val="ro-MD"/>
        </w:rPr>
        <w:t xml:space="preserve">    </w:t>
      </w:r>
      <w:r w:rsidRPr="00761F85">
        <w:rPr>
          <w:b/>
          <w:i/>
          <w:color w:val="000000"/>
          <w:sz w:val="22"/>
          <w:szCs w:val="22"/>
          <w:u w:val="single"/>
          <w:lang w:val="ro-MD"/>
        </w:rPr>
        <w:t>Capacitatea tehnică și profesională a candidatului</w:t>
      </w:r>
      <w:r w:rsidRPr="00761F85">
        <w:rPr>
          <w:i/>
          <w:color w:val="000000"/>
          <w:sz w:val="22"/>
          <w:szCs w:val="22"/>
          <w:lang w:val="ro-MD"/>
        </w:rPr>
        <w:t>:</w:t>
      </w:r>
    </w:p>
    <w:p w:rsidR="0016094F" w:rsidRPr="00A07282" w:rsidRDefault="0016094F" w:rsidP="0016094F">
      <w:pPr>
        <w:widowControl/>
        <w:spacing w:before="0" w:after="120"/>
        <w:ind w:left="709"/>
        <w:jc w:val="both"/>
        <w:rPr>
          <w:lang w:val="ro-MD"/>
        </w:rPr>
      </w:pPr>
      <w:r w:rsidRPr="00761F85">
        <w:rPr>
          <w:color w:val="000000"/>
          <w:lang w:val="ro-MD" w:eastAsia="ro-RO"/>
        </w:rPr>
        <w:t xml:space="preserve">trebuie să fi realizat </w:t>
      </w:r>
      <w:r w:rsidRPr="00761F85">
        <w:rPr>
          <w:b/>
          <w:color w:val="000000"/>
          <w:lang w:val="ro-MD" w:eastAsia="ro-RO"/>
        </w:rPr>
        <w:t xml:space="preserve">cel puțin 2 proiecte </w:t>
      </w:r>
      <w:r w:rsidRPr="00761F85">
        <w:rPr>
          <w:color w:val="000000"/>
          <w:lang w:val="ro-MD" w:eastAsia="ro-RO"/>
        </w:rPr>
        <w:t xml:space="preserve">de aceeași natură/cantitate/complexitate cu lucrările vizate de licitație și implementate în următoarea perioadă: 5 ani. Autoritatea Contractanta îsi rezerva dreptul de a solicita copii ale certificatelor de acceptare </w:t>
      </w:r>
      <w:r w:rsidRPr="0031511F">
        <w:rPr>
          <w:lang w:val="ro-MD" w:eastAsia="ro-RO"/>
        </w:rPr>
        <w:t>finala semnate de supervizorii/autoritatea contractanta a proiectelor</w:t>
      </w:r>
      <w:r w:rsidRPr="00A07282">
        <w:rPr>
          <w:lang w:val="ro-MD" w:eastAsia="ro-RO"/>
        </w:rPr>
        <w:t xml:space="preserve"> in cauza.</w:t>
      </w:r>
    </w:p>
    <w:p w:rsidR="0016094F" w:rsidRPr="00A07282" w:rsidRDefault="0016094F" w:rsidP="0016094F">
      <w:pPr>
        <w:ind w:left="709"/>
        <w:jc w:val="both"/>
        <w:rPr>
          <w:lang w:val="ro-MD" w:eastAsia="ro-RO"/>
        </w:rPr>
      </w:pPr>
      <w:r w:rsidRPr="00A07282">
        <w:rPr>
          <w:lang w:val="ro-MD" w:eastAsia="ro-RO"/>
        </w:rPr>
        <w:t>Aceasta înseamnă că proiectul la care se referă oferta</w:t>
      </w:r>
      <w:bookmarkStart w:id="0" w:name="_GoBack"/>
      <w:bookmarkEnd w:id="0"/>
      <w:r w:rsidRPr="00A07282">
        <w:rPr>
          <w:lang w:val="ro-MD" w:eastAsia="ro-RO"/>
        </w:rPr>
        <w:t>ntul ar fi putut fi început/implementat/finalizat în orice moment în perioada indicată, dar nu trebuie neapărat început și finalizat în perioada respectivă și nici implementat pe toată perioada.)</w:t>
      </w:r>
    </w:p>
    <w:p w:rsidR="0016094F" w:rsidRPr="00A07282" w:rsidRDefault="0016094F" w:rsidP="0016094F">
      <w:pPr>
        <w:widowControl/>
        <w:numPr>
          <w:ilvl w:val="0"/>
          <w:numId w:val="45"/>
        </w:numPr>
        <w:suppressAutoHyphens/>
        <w:spacing w:before="0" w:after="120"/>
        <w:jc w:val="both"/>
        <w:rPr>
          <w:lang w:val="ro-MD" w:eastAsia="ro-RO"/>
        </w:rPr>
      </w:pPr>
      <w:r w:rsidRPr="00A07282">
        <w:rPr>
          <w:lang w:val="ro-MD" w:eastAsia="ro-RO"/>
        </w:rPr>
        <w:t>trebuie să execute cel puțin 70 % din lucrările contractuale utilizând resurse proprii, ceea ce înseamnă că trebuie să dispună de echipamentele, materialele, resursele umane și financiare necesare pentru realizarea acestui procent din contract.</w:t>
      </w:r>
    </w:p>
    <w:p w:rsidR="0016094F" w:rsidRPr="00A07282" w:rsidRDefault="0016094F" w:rsidP="0016094F">
      <w:pPr>
        <w:widowControl/>
        <w:numPr>
          <w:ilvl w:val="0"/>
          <w:numId w:val="45"/>
        </w:numPr>
        <w:suppressAutoHyphens/>
        <w:spacing w:before="0" w:after="120"/>
        <w:jc w:val="both"/>
        <w:rPr>
          <w:lang w:val="ro-MD" w:eastAsia="ro-RO"/>
        </w:rPr>
      </w:pPr>
      <w:r w:rsidRPr="00A07282">
        <w:rPr>
          <w:lang w:val="ro-MD" w:eastAsia="ro-RO"/>
        </w:rPr>
        <w:t>dacă este membrul principal al unei asocieri în participație/consorțiu, trebuie să poată executa cel puțin 50 % din lucrările contractuale folosind propriile mijloace.</w:t>
      </w:r>
    </w:p>
    <w:p w:rsidR="0016094F" w:rsidRPr="00A07282" w:rsidRDefault="0016094F" w:rsidP="0016094F">
      <w:pPr>
        <w:widowControl/>
        <w:numPr>
          <w:ilvl w:val="0"/>
          <w:numId w:val="45"/>
        </w:numPr>
        <w:suppressAutoHyphens/>
        <w:spacing w:before="0" w:after="120"/>
        <w:jc w:val="both"/>
        <w:rPr>
          <w:lang w:val="ro-MD" w:eastAsia="ro-RO"/>
        </w:rPr>
      </w:pPr>
      <w:r w:rsidRPr="00A07282">
        <w:rPr>
          <w:lang w:val="ro-MD" w:eastAsia="ro-RO"/>
        </w:rPr>
        <w:t>dacă este partener al unei asocieri/consorțiu în comun (adică nu este membrul principal), trebuie să fie capabil să execute cel puțin 10 % din lucrările contractului folosind propriile mijloace.</w:t>
      </w:r>
    </w:p>
    <w:p w:rsidR="0016094F" w:rsidRPr="00A07282" w:rsidRDefault="0016094F" w:rsidP="0016094F">
      <w:pPr>
        <w:widowControl/>
        <w:numPr>
          <w:ilvl w:val="0"/>
          <w:numId w:val="45"/>
        </w:numPr>
        <w:suppressAutoHyphens/>
        <w:spacing w:before="0" w:after="120"/>
        <w:jc w:val="both"/>
        <w:rPr>
          <w:lang w:val="ro-MD"/>
        </w:rPr>
      </w:pPr>
      <w:r w:rsidRPr="00A07282">
        <w:rPr>
          <w:lang w:val="ro-MD" w:eastAsia="ro-RO"/>
        </w:rPr>
        <w:lastRenderedPageBreak/>
        <w:t>tot personalul său cheie trebuie să aibă cel puțin 3 ani de experiență adecvată și calificări dovedite relevante pentru lucrări de natură similară cu acest proiect.</w:t>
      </w:r>
    </w:p>
    <w:p w:rsidR="002139C6" w:rsidRPr="0074779E" w:rsidRDefault="002139C6" w:rsidP="0076200F">
      <w:pPr>
        <w:pStyle w:val="PRAGHeading2"/>
        <w:jc w:val="both"/>
        <w:rPr>
          <w:rStyle w:val="Strong"/>
          <w:sz w:val="22"/>
          <w:szCs w:val="22"/>
          <w:lang w:val="ro-MD"/>
        </w:rPr>
      </w:pPr>
      <w:r w:rsidRPr="0074779E">
        <w:rPr>
          <w:rStyle w:val="Strong"/>
          <w:sz w:val="22"/>
          <w:szCs w:val="22"/>
          <w:lang w:val="ro-MD"/>
        </w:rPr>
        <w:t>Criterii de atribuire</w:t>
      </w:r>
    </w:p>
    <w:p w:rsidR="00492F3A" w:rsidRPr="0074779E" w:rsidRDefault="00492F3A" w:rsidP="0076200F">
      <w:pPr>
        <w:ind w:left="426"/>
        <w:jc w:val="both"/>
        <w:rPr>
          <w:sz w:val="22"/>
          <w:lang w:val="ro-MD"/>
        </w:rPr>
      </w:pPr>
      <w:r w:rsidRPr="0074779E">
        <w:rPr>
          <w:sz w:val="22"/>
          <w:lang w:val="ro-MD"/>
        </w:rPr>
        <w:t>Singurul criteriu de atribuire va fi prețul: oferta cea mai avantajoasă din punct de vedere economic este oferta conformă din punct de vedere tehnic cu cel mai mic preț.</w:t>
      </w:r>
    </w:p>
    <w:p w:rsidR="002139C6" w:rsidRPr="0074779E" w:rsidRDefault="00761F85" w:rsidP="0076200F">
      <w:pPr>
        <w:jc w:val="both"/>
        <w:rPr>
          <w:sz w:val="22"/>
          <w:szCs w:val="22"/>
          <w:lang w:val="ro-MD"/>
        </w:rPr>
      </w:pPr>
      <w:r>
        <w:rPr>
          <w:snapToGrid/>
          <w:sz w:val="22"/>
          <w:szCs w:val="22"/>
          <w:lang w:val="ro-MD"/>
        </w:rPr>
        <w:pict>
          <v:line id="_x0000_s1027" style="position:absolute;left:0;text-align:left;z-index:2" from="0,12pt" to="468pt,12.05pt" o:allowincell="f" strokecolor="#d4d4d4" strokeweight="1.75pt">
            <v:shadow on="t" origin=",32385f" offset="0,-1pt"/>
          </v:line>
        </w:pict>
      </w:r>
    </w:p>
    <w:p w:rsidR="002139C6" w:rsidRPr="0074779E" w:rsidRDefault="002139C6" w:rsidP="0076200F">
      <w:pPr>
        <w:ind w:left="360"/>
        <w:jc w:val="both"/>
        <w:rPr>
          <w:rStyle w:val="Strong"/>
          <w:sz w:val="22"/>
          <w:szCs w:val="22"/>
          <w:lang w:val="ro-MD"/>
        </w:rPr>
      </w:pPr>
      <w:r w:rsidRPr="0074779E">
        <w:rPr>
          <w:rStyle w:val="Strong"/>
          <w:sz w:val="22"/>
          <w:szCs w:val="22"/>
          <w:lang w:val="ro-MD"/>
        </w:rPr>
        <w:t>LICITARE</w:t>
      </w:r>
    </w:p>
    <w:p w:rsidR="007E0D76" w:rsidRPr="0074779E" w:rsidRDefault="007E0D76" w:rsidP="0076200F">
      <w:pPr>
        <w:pStyle w:val="PRAGHeading2"/>
        <w:jc w:val="both"/>
        <w:rPr>
          <w:rStyle w:val="Strong"/>
          <w:sz w:val="22"/>
          <w:szCs w:val="22"/>
          <w:lang w:val="ro-MD"/>
        </w:rPr>
      </w:pPr>
      <w:r w:rsidRPr="0074779E">
        <w:rPr>
          <w:rStyle w:val="Strong"/>
          <w:sz w:val="22"/>
          <w:szCs w:val="22"/>
          <w:lang w:val="ro-MD"/>
        </w:rPr>
        <w:t xml:space="preserve">Clauze etice </w:t>
      </w:r>
    </w:p>
    <w:p w:rsidR="007E0D76" w:rsidRPr="0074779E" w:rsidRDefault="007E0D76" w:rsidP="0076200F">
      <w:pPr>
        <w:pStyle w:val="PRAGHeading2"/>
        <w:numPr>
          <w:ilvl w:val="0"/>
          <w:numId w:val="0"/>
        </w:numPr>
        <w:ind w:left="720"/>
        <w:jc w:val="both"/>
        <w:rPr>
          <w:rStyle w:val="Strong"/>
          <w:b w:val="0"/>
          <w:sz w:val="22"/>
          <w:szCs w:val="22"/>
          <w:lang w:val="ro-MD"/>
        </w:rPr>
      </w:pPr>
      <w:r w:rsidRPr="0074779E">
        <w:rPr>
          <w:rStyle w:val="Strong"/>
          <w:b w:val="0"/>
          <w:sz w:val="22"/>
          <w:szCs w:val="22"/>
          <w:lang w:val="ro-MD"/>
        </w:rPr>
        <w:t>Ofertanții sunt supuși clauzelor etice, detaliate în Secțiunea 2.</w:t>
      </w:r>
      <w:r w:rsidR="0022653F" w:rsidRPr="0074779E">
        <w:rPr>
          <w:rStyle w:val="Strong"/>
          <w:b w:val="0"/>
          <w:sz w:val="22"/>
          <w:szCs w:val="22"/>
          <w:lang w:val="ro-MD"/>
        </w:rPr>
        <w:t>4.1</w:t>
      </w:r>
      <w:r w:rsidR="00FE6F95" w:rsidRPr="0074779E">
        <w:rPr>
          <w:rStyle w:val="Strong"/>
          <w:b w:val="0"/>
          <w:sz w:val="22"/>
          <w:szCs w:val="22"/>
          <w:lang w:val="ro-MD"/>
        </w:rPr>
        <w:t>4</w:t>
      </w:r>
      <w:r w:rsidR="0022653F" w:rsidRPr="0074779E">
        <w:rPr>
          <w:rStyle w:val="Strong"/>
          <w:b w:val="0"/>
          <w:sz w:val="22"/>
          <w:szCs w:val="22"/>
          <w:lang w:val="ro-MD"/>
        </w:rPr>
        <w:t>.</w:t>
      </w:r>
      <w:r w:rsidRPr="0074779E">
        <w:rPr>
          <w:rStyle w:val="Strong"/>
          <w:b w:val="0"/>
          <w:sz w:val="22"/>
          <w:szCs w:val="22"/>
          <w:lang w:val="ro-MD"/>
        </w:rPr>
        <w:t xml:space="preserve"> a </w:t>
      </w:r>
      <w:r w:rsidR="0022653F" w:rsidRPr="0074779E">
        <w:rPr>
          <w:rStyle w:val="Strong"/>
          <w:b w:val="0"/>
          <w:sz w:val="22"/>
          <w:szCs w:val="22"/>
          <w:lang w:val="ro-MD"/>
        </w:rPr>
        <w:t>G</w:t>
      </w:r>
      <w:r w:rsidRPr="0074779E">
        <w:rPr>
          <w:rStyle w:val="Strong"/>
          <w:b w:val="0"/>
          <w:sz w:val="22"/>
          <w:szCs w:val="22"/>
          <w:lang w:val="ro-MD"/>
        </w:rPr>
        <w:t xml:space="preserve">hidului </w:t>
      </w:r>
      <w:r w:rsidR="0022653F" w:rsidRPr="0074779E">
        <w:rPr>
          <w:rStyle w:val="Strong"/>
          <w:b w:val="0"/>
          <w:sz w:val="22"/>
          <w:szCs w:val="22"/>
          <w:lang w:val="ro-MD"/>
        </w:rPr>
        <w:t>P</w:t>
      </w:r>
      <w:r w:rsidRPr="0074779E">
        <w:rPr>
          <w:rStyle w:val="Strong"/>
          <w:b w:val="0"/>
          <w:sz w:val="22"/>
          <w:szCs w:val="22"/>
          <w:lang w:val="ro-MD"/>
        </w:rPr>
        <w:t>ractic.</w:t>
      </w:r>
    </w:p>
    <w:p w:rsidR="003C3139" w:rsidRPr="0074779E" w:rsidRDefault="00FE6F95" w:rsidP="00FE6F95">
      <w:pPr>
        <w:pStyle w:val="PRAGHeading2"/>
        <w:rPr>
          <w:rStyle w:val="Strong"/>
          <w:sz w:val="22"/>
          <w:szCs w:val="22"/>
          <w:lang w:val="ro-MD"/>
        </w:rPr>
      </w:pPr>
      <w:r w:rsidRPr="0074779E">
        <w:rPr>
          <w:rStyle w:val="Strong"/>
          <w:sz w:val="22"/>
          <w:szCs w:val="22"/>
          <w:lang w:val="ro-MD"/>
        </w:rPr>
        <w:t>Dispute</w:t>
      </w:r>
    </w:p>
    <w:p w:rsidR="00FE6F95" w:rsidRPr="0074779E" w:rsidRDefault="003C3139" w:rsidP="0076200F">
      <w:pPr>
        <w:ind w:left="709"/>
        <w:jc w:val="both"/>
        <w:rPr>
          <w:snapToGrid/>
          <w:sz w:val="22"/>
          <w:szCs w:val="22"/>
          <w:lang w:val="ro-MD" w:eastAsia="en-GB"/>
        </w:rPr>
      </w:pPr>
      <w:r w:rsidRPr="0074779E">
        <w:rPr>
          <w:snapToGrid/>
          <w:sz w:val="22"/>
          <w:szCs w:val="22"/>
          <w:lang w:val="ro-MD" w:eastAsia="en-GB"/>
        </w:rPr>
        <w:t>Ofertanții care cred că au fost prejudiciați d</w:t>
      </w:r>
      <w:r w:rsidR="00FE6F95" w:rsidRPr="0074779E">
        <w:rPr>
          <w:snapToGrid/>
          <w:sz w:val="22"/>
          <w:szCs w:val="22"/>
          <w:lang w:val="ro-MD" w:eastAsia="en-GB"/>
        </w:rPr>
        <w:t xml:space="preserve">in cauza unei erori sau nereguli </w:t>
      </w:r>
      <w:r w:rsidRPr="0074779E">
        <w:rPr>
          <w:snapToGrid/>
          <w:sz w:val="22"/>
          <w:szCs w:val="22"/>
          <w:lang w:val="ro-MD" w:eastAsia="en-GB"/>
        </w:rPr>
        <w:t>în timpul procesului de atribuire pot depune o plângere</w:t>
      </w:r>
      <w:r w:rsidR="00FE6F95" w:rsidRPr="0074779E">
        <w:rPr>
          <w:snapToGrid/>
          <w:sz w:val="22"/>
          <w:szCs w:val="22"/>
          <w:lang w:val="ro-MD" w:eastAsia="en-GB"/>
        </w:rPr>
        <w:t xml:space="preserve"> (contestație). A se vedea  </w:t>
      </w:r>
      <w:r w:rsidRPr="0074779E">
        <w:rPr>
          <w:snapToGrid/>
          <w:sz w:val="22"/>
          <w:szCs w:val="22"/>
          <w:lang w:val="ro-MD" w:eastAsia="en-GB"/>
        </w:rPr>
        <w:t>Secțiunea</w:t>
      </w:r>
      <w:r w:rsidR="00FE6F95" w:rsidRPr="0074779E">
        <w:rPr>
          <w:snapToGrid/>
          <w:sz w:val="22"/>
          <w:szCs w:val="22"/>
          <w:lang w:val="ro-MD" w:eastAsia="en-GB"/>
        </w:rPr>
        <w:t xml:space="preserve"> 2.4.15  din Ghidul  Practic.</w:t>
      </w:r>
    </w:p>
    <w:p w:rsidR="00B272AC" w:rsidRPr="0074779E" w:rsidRDefault="003C3139" w:rsidP="0016094F">
      <w:pPr>
        <w:pStyle w:val="PRAGHeading2"/>
        <w:rPr>
          <w:lang w:val="ro-MD"/>
        </w:rPr>
      </w:pPr>
      <w:r w:rsidRPr="0074779E">
        <w:rPr>
          <w:lang w:val="ro-MD"/>
        </w:rPr>
        <w:t>Sistem</w:t>
      </w:r>
      <w:r w:rsidR="008B1F3B" w:rsidRPr="0074779E">
        <w:rPr>
          <w:lang w:val="ro-MD"/>
        </w:rPr>
        <w:t>ul</w:t>
      </w:r>
      <w:r w:rsidRPr="0074779E">
        <w:rPr>
          <w:lang w:val="ro-MD"/>
        </w:rPr>
        <w:t xml:space="preserve"> de detectare </w:t>
      </w:r>
      <w:r w:rsidR="008B1F3B" w:rsidRPr="0074779E">
        <w:rPr>
          <w:lang w:val="ro-MD"/>
        </w:rPr>
        <w:t xml:space="preserve">timpurie </w:t>
      </w:r>
      <w:r w:rsidRPr="0074779E">
        <w:rPr>
          <w:lang w:val="ro-MD"/>
        </w:rPr>
        <w:t>și excludere</w:t>
      </w:r>
    </w:p>
    <w:p w:rsidR="00B272AC" w:rsidRPr="0074779E" w:rsidRDefault="00B272AC" w:rsidP="00B272AC">
      <w:pPr>
        <w:ind w:left="709"/>
        <w:jc w:val="both"/>
        <w:rPr>
          <w:sz w:val="22"/>
          <w:szCs w:val="22"/>
          <w:lang w:val="ro-MD"/>
        </w:rPr>
      </w:pPr>
      <w:r w:rsidRPr="0074779E">
        <w:rPr>
          <w:sz w:val="22"/>
          <w:szCs w:val="22"/>
          <w:lang w:val="ro-MD"/>
        </w:rPr>
        <w:t xml:space="preserve">Ofertanții și, în cazul în care sunt persoane juridice, persoane care au puteri de reprezentare, de decizie sau de control asupra acestora, sunt informați că, în cazul în care se află într-una dintre situațiile de depistare timpurie sau excludere, datele lor personale (denumirea, dat denumirea dacă persoană fizică, adresa, forma juridică și denumirea și prenumele persoanelor cu atribuții de reprezentare, decizie sau control, dacă persoană juridică) pot fi înregistrate în </w:t>
      </w:r>
      <w:r w:rsidR="008B1F3B" w:rsidRPr="0074779E">
        <w:rPr>
          <w:sz w:val="22"/>
          <w:szCs w:val="22"/>
          <w:lang w:val="ro-MD"/>
        </w:rPr>
        <w:t>S</w:t>
      </w:r>
      <w:r w:rsidRPr="0074779E">
        <w:rPr>
          <w:sz w:val="22"/>
          <w:szCs w:val="22"/>
          <w:lang w:val="ro-MD"/>
        </w:rPr>
        <w:t>istemul de detectare timpurie și excludere (</w:t>
      </w:r>
      <w:r w:rsidR="008B1F3B" w:rsidRPr="0074779E">
        <w:rPr>
          <w:sz w:val="22"/>
          <w:szCs w:val="22"/>
          <w:lang w:val="ro-MD"/>
        </w:rPr>
        <w:t>EDES) și comunicate persoanelor și entităților</w:t>
      </w:r>
      <w:r w:rsidRPr="0074779E">
        <w:rPr>
          <w:sz w:val="22"/>
          <w:szCs w:val="22"/>
          <w:lang w:val="ro-MD"/>
        </w:rPr>
        <w:t xml:space="preserve"> implicate în legătură cu atribuirea sau executarea unui contract de achiziție.</w:t>
      </w:r>
    </w:p>
    <w:sectPr w:rsidR="00B272AC" w:rsidRPr="0074779E" w:rsidSect="00CA5398">
      <w:footerReference w:type="default" r:id="rId8"/>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85" w:rsidRDefault="00761F85">
      <w:r>
        <w:separator/>
      </w:r>
    </w:p>
  </w:endnote>
  <w:endnote w:type="continuationSeparator" w:id="0">
    <w:p w:rsidR="00761F85" w:rsidRDefault="0076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CA" w:rsidRPr="000F07CD" w:rsidRDefault="00B32DD7" w:rsidP="009B4A52">
    <w:pPr>
      <w:pStyle w:val="Footer"/>
      <w:tabs>
        <w:tab w:val="clear" w:pos="4536"/>
        <w:tab w:val="clear" w:pos="9072"/>
        <w:tab w:val="right" w:pos="9356"/>
      </w:tabs>
      <w:spacing w:before="0" w:after="0"/>
      <w:rPr>
        <w:rStyle w:val="PageNumber"/>
        <w:sz w:val="18"/>
        <w:szCs w:val="18"/>
        <w:lang w:val="en-GB"/>
      </w:rPr>
    </w:pPr>
    <w:r>
      <w:rPr>
        <w:b/>
        <w:sz w:val="18"/>
      </w:rPr>
      <w:t>15 ianuarie 2016</w:t>
    </w:r>
    <w:r w:rsidR="00B640CA" w:rsidRPr="000F07CD">
      <w:rPr>
        <w:sz w:val="18"/>
        <w:szCs w:val="18"/>
        <w:lang w:val="en-GB"/>
      </w:rPr>
      <w:tab/>
      <w:t xml:space="preserve">Pagină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sidR="0031511F">
      <w:rPr>
        <w:rStyle w:val="PageNumber"/>
        <w:noProof/>
        <w:sz w:val="18"/>
        <w:szCs w:val="18"/>
        <w:lang w:val="en-GB"/>
      </w:rPr>
      <w:t>1</w:t>
    </w:r>
    <w:r w:rsidR="00B640CA" w:rsidRPr="009B4A52">
      <w:rPr>
        <w:rStyle w:val="PageNumber"/>
        <w:sz w:val="18"/>
        <w:szCs w:val="18"/>
      </w:rPr>
      <w:fldChar w:fldCharType="end"/>
    </w:r>
    <w:r w:rsidR="00B640CA" w:rsidRPr="000F07CD">
      <w:rPr>
        <w:rStyle w:val="PageNumber"/>
        <w:sz w:val="18"/>
        <w:szCs w:val="18"/>
        <w:lang w:val="en-GB"/>
      </w:rPr>
      <w:t xml:space="preserve"> de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sidR="0031511F">
      <w:rPr>
        <w:rStyle w:val="PageNumber"/>
        <w:noProof/>
        <w:sz w:val="18"/>
        <w:szCs w:val="18"/>
        <w:lang w:val="en-GB"/>
      </w:rPr>
      <w:t>4</w:t>
    </w:r>
    <w:r w:rsidR="00B640CA" w:rsidRPr="009B4A52">
      <w:rPr>
        <w:rStyle w:val="PageNumber"/>
        <w:sz w:val="18"/>
        <w:szCs w:val="18"/>
      </w:rPr>
      <w:fldChar w:fldCharType="end"/>
    </w:r>
  </w:p>
  <w:p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8D2818">
      <w:rPr>
        <w:noProof/>
        <w:sz w:val="18"/>
        <w:szCs w:val="18"/>
        <w:lang w:val="en-GB"/>
      </w:rPr>
      <w:t>ds2_contractnotice_simpl_en.doc</w:t>
    </w:r>
    <w:r w:rsidRPr="009B4A5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85" w:rsidRDefault="00761F85">
      <w:r>
        <w:separator/>
      </w:r>
    </w:p>
  </w:footnote>
  <w:footnote w:type="continuationSeparator" w:id="0">
    <w:p w:rsidR="00761F85" w:rsidRDefault="00761F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33E7589C"/>
    <w:multiLevelType w:val="multilevel"/>
    <w:tmpl w:val="2FDC5688"/>
    <w:lvl w:ilvl="0">
      <w:start w:val="1"/>
      <w:numFmt w:val="bullet"/>
      <w:lvlText w:val=""/>
      <w:lvlJc w:val="left"/>
      <w:pPr>
        <w:tabs>
          <w:tab w:val="num" w:pos="0"/>
        </w:tabs>
        <w:ind w:left="1854" w:hanging="360"/>
      </w:pPr>
      <w:rPr>
        <w:rFonts w:ascii="Symbol" w:hAnsi="Symbol" w:cs="Symbol" w:hint="default"/>
        <w:lang w:val="en" w:eastAsia="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5"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1"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outline w:val="0"/>
        <w:shadow w:val="0"/>
        <w:emboss w:val="0"/>
        <w:imprint w:val="0"/>
        <w:vanish w:val="0"/>
        <w:sz w:val="22"/>
        <w:vertAlign w:val="base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6"/>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40"/>
  </w:num>
  <w:num w:numId="33">
    <w:abstractNumId w:val="39"/>
  </w:num>
  <w:num w:numId="34">
    <w:abstractNumId w:val="28"/>
    <w:lvlOverride w:ilvl="0">
      <w:startOverride w:val="1"/>
    </w:lvlOverride>
  </w:num>
  <w:num w:numId="35">
    <w:abstractNumId w:val="37"/>
  </w:num>
  <w:num w:numId="36">
    <w:abstractNumId w:val="30"/>
  </w:num>
  <w:num w:numId="37">
    <w:abstractNumId w:val="31"/>
  </w:num>
  <w:num w:numId="38">
    <w:abstractNumId w:val="28"/>
    <w:lvlOverride w:ilvl="0">
      <w:startOverride w:val="1"/>
    </w:lvlOverride>
  </w:num>
  <w:num w:numId="39">
    <w:abstractNumId w:val="34"/>
  </w:num>
  <w:num w:numId="40">
    <w:abstractNumId w:val="35"/>
  </w:num>
  <w:num w:numId="41">
    <w:abstractNumId w:val="41"/>
  </w:num>
  <w:num w:numId="42">
    <w:abstractNumId w:val="32"/>
  </w:num>
  <w:num w:numId="43">
    <w:abstractNumId w:val="42"/>
  </w:num>
  <w:num w:numId="44">
    <w:abstractNumId w:val="3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733BD"/>
    <w:rsid w:val="000132F4"/>
    <w:rsid w:val="000158F3"/>
    <w:rsid w:val="00015F72"/>
    <w:rsid w:val="0002576E"/>
    <w:rsid w:val="00040BD0"/>
    <w:rsid w:val="00046700"/>
    <w:rsid w:val="00047785"/>
    <w:rsid w:val="00061733"/>
    <w:rsid w:val="00065E5A"/>
    <w:rsid w:val="00066F4C"/>
    <w:rsid w:val="00072A47"/>
    <w:rsid w:val="000824D8"/>
    <w:rsid w:val="00090FAB"/>
    <w:rsid w:val="00096962"/>
    <w:rsid w:val="000B5CA1"/>
    <w:rsid w:val="000D17E3"/>
    <w:rsid w:val="000D65F3"/>
    <w:rsid w:val="000E27C4"/>
    <w:rsid w:val="000E7FF7"/>
    <w:rsid w:val="000F07CD"/>
    <w:rsid w:val="000F67CD"/>
    <w:rsid w:val="00113543"/>
    <w:rsid w:val="0012198B"/>
    <w:rsid w:val="00124E3D"/>
    <w:rsid w:val="001408AF"/>
    <w:rsid w:val="001409A5"/>
    <w:rsid w:val="00142110"/>
    <w:rsid w:val="00144A03"/>
    <w:rsid w:val="00146F24"/>
    <w:rsid w:val="0016067C"/>
    <w:rsid w:val="0016094F"/>
    <w:rsid w:val="00172778"/>
    <w:rsid w:val="0017755B"/>
    <w:rsid w:val="00184185"/>
    <w:rsid w:val="00193AA4"/>
    <w:rsid w:val="001A65EB"/>
    <w:rsid w:val="001C552D"/>
    <w:rsid w:val="001D5D4B"/>
    <w:rsid w:val="001D6F33"/>
    <w:rsid w:val="001E290D"/>
    <w:rsid w:val="00202C77"/>
    <w:rsid w:val="002139C6"/>
    <w:rsid w:val="00214EC5"/>
    <w:rsid w:val="0022653F"/>
    <w:rsid w:val="00226910"/>
    <w:rsid w:val="00240E69"/>
    <w:rsid w:val="0025570B"/>
    <w:rsid w:val="002622DE"/>
    <w:rsid w:val="002654E1"/>
    <w:rsid w:val="00271960"/>
    <w:rsid w:val="00272709"/>
    <w:rsid w:val="00276D41"/>
    <w:rsid w:val="00283DDC"/>
    <w:rsid w:val="0029420A"/>
    <w:rsid w:val="002A0F9A"/>
    <w:rsid w:val="002A7B14"/>
    <w:rsid w:val="002B0469"/>
    <w:rsid w:val="002B6113"/>
    <w:rsid w:val="002D75F2"/>
    <w:rsid w:val="002D7868"/>
    <w:rsid w:val="002E09EF"/>
    <w:rsid w:val="002E5030"/>
    <w:rsid w:val="002E735D"/>
    <w:rsid w:val="002E7C2B"/>
    <w:rsid w:val="002F1040"/>
    <w:rsid w:val="002F54C8"/>
    <w:rsid w:val="003100BB"/>
    <w:rsid w:val="0031245B"/>
    <w:rsid w:val="0031511F"/>
    <w:rsid w:val="00321225"/>
    <w:rsid w:val="00337F6E"/>
    <w:rsid w:val="00341E7E"/>
    <w:rsid w:val="003432DB"/>
    <w:rsid w:val="00344654"/>
    <w:rsid w:val="00345D09"/>
    <w:rsid w:val="00366082"/>
    <w:rsid w:val="003720EC"/>
    <w:rsid w:val="00383D66"/>
    <w:rsid w:val="00391F9F"/>
    <w:rsid w:val="003923FE"/>
    <w:rsid w:val="003A2491"/>
    <w:rsid w:val="003A51DF"/>
    <w:rsid w:val="003B2B49"/>
    <w:rsid w:val="003B7B6F"/>
    <w:rsid w:val="003C07AC"/>
    <w:rsid w:val="003C3139"/>
    <w:rsid w:val="003E27E0"/>
    <w:rsid w:val="003E5E93"/>
    <w:rsid w:val="0040130C"/>
    <w:rsid w:val="00405ED1"/>
    <w:rsid w:val="00424AD7"/>
    <w:rsid w:val="0043263D"/>
    <w:rsid w:val="00434120"/>
    <w:rsid w:val="00440B02"/>
    <w:rsid w:val="004430E0"/>
    <w:rsid w:val="00450828"/>
    <w:rsid w:val="0046267B"/>
    <w:rsid w:val="00465DFA"/>
    <w:rsid w:val="004664C5"/>
    <w:rsid w:val="0047639E"/>
    <w:rsid w:val="00480358"/>
    <w:rsid w:val="00484326"/>
    <w:rsid w:val="00491889"/>
    <w:rsid w:val="00492F3A"/>
    <w:rsid w:val="00494DE2"/>
    <w:rsid w:val="004A157C"/>
    <w:rsid w:val="004B1831"/>
    <w:rsid w:val="004B20A1"/>
    <w:rsid w:val="004C0660"/>
    <w:rsid w:val="004C69BC"/>
    <w:rsid w:val="004D0E69"/>
    <w:rsid w:val="00510229"/>
    <w:rsid w:val="005206B5"/>
    <w:rsid w:val="00522AC4"/>
    <w:rsid w:val="00523CA1"/>
    <w:rsid w:val="005711BD"/>
    <w:rsid w:val="00584DF6"/>
    <w:rsid w:val="005859B6"/>
    <w:rsid w:val="00586DE6"/>
    <w:rsid w:val="00597BFE"/>
    <w:rsid w:val="005A533C"/>
    <w:rsid w:val="005C3A9A"/>
    <w:rsid w:val="005D639E"/>
    <w:rsid w:val="005E63ED"/>
    <w:rsid w:val="005F7047"/>
    <w:rsid w:val="006027ED"/>
    <w:rsid w:val="00604ABA"/>
    <w:rsid w:val="0063149F"/>
    <w:rsid w:val="00631F1A"/>
    <w:rsid w:val="00647BCC"/>
    <w:rsid w:val="00662A96"/>
    <w:rsid w:val="006718D7"/>
    <w:rsid w:val="00684A6B"/>
    <w:rsid w:val="00694640"/>
    <w:rsid w:val="006A4BA7"/>
    <w:rsid w:val="006C3DBB"/>
    <w:rsid w:val="006C703D"/>
    <w:rsid w:val="006D3CE7"/>
    <w:rsid w:val="006E7CF0"/>
    <w:rsid w:val="006F7E78"/>
    <w:rsid w:val="007035F4"/>
    <w:rsid w:val="00705BB4"/>
    <w:rsid w:val="0071048F"/>
    <w:rsid w:val="00712510"/>
    <w:rsid w:val="007163F2"/>
    <w:rsid w:val="00717FCD"/>
    <w:rsid w:val="00721E98"/>
    <w:rsid w:val="00725D52"/>
    <w:rsid w:val="00732672"/>
    <w:rsid w:val="00740BD2"/>
    <w:rsid w:val="0074779E"/>
    <w:rsid w:val="00756D67"/>
    <w:rsid w:val="00761F85"/>
    <w:rsid w:val="0076200F"/>
    <w:rsid w:val="00786BBB"/>
    <w:rsid w:val="007A48E8"/>
    <w:rsid w:val="007C4AA9"/>
    <w:rsid w:val="007D6C98"/>
    <w:rsid w:val="007E0D76"/>
    <w:rsid w:val="007E17B2"/>
    <w:rsid w:val="007E50EC"/>
    <w:rsid w:val="008044AC"/>
    <w:rsid w:val="00805EFA"/>
    <w:rsid w:val="0081056A"/>
    <w:rsid w:val="00813D9D"/>
    <w:rsid w:val="008141F8"/>
    <w:rsid w:val="008158D7"/>
    <w:rsid w:val="00831879"/>
    <w:rsid w:val="00832BB3"/>
    <w:rsid w:val="00833DA6"/>
    <w:rsid w:val="00846CE9"/>
    <w:rsid w:val="00854B12"/>
    <w:rsid w:val="00861DBD"/>
    <w:rsid w:val="00864A70"/>
    <w:rsid w:val="00883695"/>
    <w:rsid w:val="008A0A49"/>
    <w:rsid w:val="008A71B4"/>
    <w:rsid w:val="008B1F3B"/>
    <w:rsid w:val="008B501D"/>
    <w:rsid w:val="008D1D32"/>
    <w:rsid w:val="008D2818"/>
    <w:rsid w:val="008D70D4"/>
    <w:rsid w:val="008E1A09"/>
    <w:rsid w:val="009006A8"/>
    <w:rsid w:val="0090169E"/>
    <w:rsid w:val="009067EA"/>
    <w:rsid w:val="00921394"/>
    <w:rsid w:val="00944E53"/>
    <w:rsid w:val="009733A4"/>
    <w:rsid w:val="00977661"/>
    <w:rsid w:val="00981386"/>
    <w:rsid w:val="009817C6"/>
    <w:rsid w:val="00985F8D"/>
    <w:rsid w:val="00997EDB"/>
    <w:rsid w:val="009A320E"/>
    <w:rsid w:val="009A7034"/>
    <w:rsid w:val="009B4A52"/>
    <w:rsid w:val="009B5FFC"/>
    <w:rsid w:val="009C282B"/>
    <w:rsid w:val="009C5905"/>
    <w:rsid w:val="009C631E"/>
    <w:rsid w:val="009C65D6"/>
    <w:rsid w:val="009D4DFB"/>
    <w:rsid w:val="009E540E"/>
    <w:rsid w:val="009E73BD"/>
    <w:rsid w:val="00A23F87"/>
    <w:rsid w:val="00A33EBF"/>
    <w:rsid w:val="00A3665E"/>
    <w:rsid w:val="00A54B82"/>
    <w:rsid w:val="00A57EDC"/>
    <w:rsid w:val="00A67356"/>
    <w:rsid w:val="00A67C00"/>
    <w:rsid w:val="00A761F0"/>
    <w:rsid w:val="00A77799"/>
    <w:rsid w:val="00A80ACD"/>
    <w:rsid w:val="00A84829"/>
    <w:rsid w:val="00A87FE3"/>
    <w:rsid w:val="00A92358"/>
    <w:rsid w:val="00A95184"/>
    <w:rsid w:val="00A95DD1"/>
    <w:rsid w:val="00AA4373"/>
    <w:rsid w:val="00AB43CE"/>
    <w:rsid w:val="00AC4755"/>
    <w:rsid w:val="00AD011E"/>
    <w:rsid w:val="00AD0BF2"/>
    <w:rsid w:val="00AE0692"/>
    <w:rsid w:val="00AE328D"/>
    <w:rsid w:val="00AF3371"/>
    <w:rsid w:val="00B022FD"/>
    <w:rsid w:val="00B05F1D"/>
    <w:rsid w:val="00B159D6"/>
    <w:rsid w:val="00B24E1F"/>
    <w:rsid w:val="00B272AC"/>
    <w:rsid w:val="00B27EF0"/>
    <w:rsid w:val="00B32DD7"/>
    <w:rsid w:val="00B3535B"/>
    <w:rsid w:val="00B47C02"/>
    <w:rsid w:val="00B52B1C"/>
    <w:rsid w:val="00B640CA"/>
    <w:rsid w:val="00B7405D"/>
    <w:rsid w:val="00B76C69"/>
    <w:rsid w:val="00B83745"/>
    <w:rsid w:val="00B842B2"/>
    <w:rsid w:val="00B853C8"/>
    <w:rsid w:val="00B85525"/>
    <w:rsid w:val="00B86369"/>
    <w:rsid w:val="00B912C2"/>
    <w:rsid w:val="00B95EFC"/>
    <w:rsid w:val="00BA0AC6"/>
    <w:rsid w:val="00BC23AA"/>
    <w:rsid w:val="00BC6046"/>
    <w:rsid w:val="00BD11C0"/>
    <w:rsid w:val="00BD3B9D"/>
    <w:rsid w:val="00BD63A4"/>
    <w:rsid w:val="00BE3363"/>
    <w:rsid w:val="00BE73F2"/>
    <w:rsid w:val="00C038FD"/>
    <w:rsid w:val="00C37BDC"/>
    <w:rsid w:val="00C37CFF"/>
    <w:rsid w:val="00C43C3C"/>
    <w:rsid w:val="00C64126"/>
    <w:rsid w:val="00C701B4"/>
    <w:rsid w:val="00C733BD"/>
    <w:rsid w:val="00C74850"/>
    <w:rsid w:val="00C8042E"/>
    <w:rsid w:val="00CA2F80"/>
    <w:rsid w:val="00CA5398"/>
    <w:rsid w:val="00CA5B6F"/>
    <w:rsid w:val="00CC44B2"/>
    <w:rsid w:val="00CC45C3"/>
    <w:rsid w:val="00CD07AD"/>
    <w:rsid w:val="00CE207E"/>
    <w:rsid w:val="00CE3C40"/>
    <w:rsid w:val="00CF42ED"/>
    <w:rsid w:val="00D101C4"/>
    <w:rsid w:val="00D131A9"/>
    <w:rsid w:val="00D1442E"/>
    <w:rsid w:val="00D275AD"/>
    <w:rsid w:val="00D456AF"/>
    <w:rsid w:val="00D5741C"/>
    <w:rsid w:val="00D60434"/>
    <w:rsid w:val="00D62A71"/>
    <w:rsid w:val="00D62DE2"/>
    <w:rsid w:val="00D80DCC"/>
    <w:rsid w:val="00D84614"/>
    <w:rsid w:val="00D87613"/>
    <w:rsid w:val="00D949DA"/>
    <w:rsid w:val="00D974A3"/>
    <w:rsid w:val="00DC0CF2"/>
    <w:rsid w:val="00DC0EC0"/>
    <w:rsid w:val="00DC7917"/>
    <w:rsid w:val="00DD2F41"/>
    <w:rsid w:val="00DD54A4"/>
    <w:rsid w:val="00DD6316"/>
    <w:rsid w:val="00DF2EC2"/>
    <w:rsid w:val="00E1672F"/>
    <w:rsid w:val="00E17B77"/>
    <w:rsid w:val="00E2178D"/>
    <w:rsid w:val="00E267BD"/>
    <w:rsid w:val="00E46E18"/>
    <w:rsid w:val="00E53CBF"/>
    <w:rsid w:val="00E56703"/>
    <w:rsid w:val="00E62310"/>
    <w:rsid w:val="00E6606E"/>
    <w:rsid w:val="00E74001"/>
    <w:rsid w:val="00E7459B"/>
    <w:rsid w:val="00E823E9"/>
    <w:rsid w:val="00E83722"/>
    <w:rsid w:val="00E87351"/>
    <w:rsid w:val="00E97982"/>
    <w:rsid w:val="00EA398D"/>
    <w:rsid w:val="00EA61CA"/>
    <w:rsid w:val="00EB109B"/>
    <w:rsid w:val="00ED60CD"/>
    <w:rsid w:val="00EE2A34"/>
    <w:rsid w:val="00EE3CC8"/>
    <w:rsid w:val="00EE6EAD"/>
    <w:rsid w:val="00EF4AD3"/>
    <w:rsid w:val="00EF62A8"/>
    <w:rsid w:val="00F015AD"/>
    <w:rsid w:val="00F0201D"/>
    <w:rsid w:val="00F04C18"/>
    <w:rsid w:val="00F07EE8"/>
    <w:rsid w:val="00F135F5"/>
    <w:rsid w:val="00F138A0"/>
    <w:rsid w:val="00F2056A"/>
    <w:rsid w:val="00F26109"/>
    <w:rsid w:val="00F333B3"/>
    <w:rsid w:val="00F36633"/>
    <w:rsid w:val="00F562AD"/>
    <w:rsid w:val="00F625C1"/>
    <w:rsid w:val="00F642CD"/>
    <w:rsid w:val="00F64C97"/>
    <w:rsid w:val="00F67089"/>
    <w:rsid w:val="00F90205"/>
    <w:rsid w:val="00F96F61"/>
    <w:rsid w:val="00FA2AA9"/>
    <w:rsid w:val="00FB1110"/>
    <w:rsid w:val="00FC2F86"/>
    <w:rsid w:val="00FE6F95"/>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FA60E-C57C-42A1-8E15-097B8752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94"/>
    <w:pPr>
      <w:widowControl w:val="0"/>
      <w:spacing w:before="100" w:after="100"/>
    </w:pPr>
    <w:rPr>
      <w:snapToGrid w:val="0"/>
      <w:sz w:val="24"/>
      <w:lang w:val="fr-FR" w:eastAsia="en-US"/>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qFormat/>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val="en-GB"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598D-713F-457E-AE1D-5C1D0951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1206</Words>
  <Characters>7001</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proc_notice_en</vt:lpstr>
      <vt:lpstr>proc_notice_en</vt:lpstr>
    </vt:vector>
  </TitlesOfParts>
  <Company>European Commission</Company>
  <LinksUpToDate>false</LinksUpToDate>
  <CharactersWithSpaces>8191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User</cp:lastModifiedBy>
  <cp:revision>13</cp:revision>
  <cp:lastPrinted>2006-01-25T10:58:00Z</cp:lastPrinted>
  <dcterms:created xsi:type="dcterms:W3CDTF">2020-04-15T16:16:00Z</dcterms:created>
  <dcterms:modified xsi:type="dcterms:W3CDTF">2021-12-02T13:53:00Z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