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B9D2" w14:textId="634039AF" w:rsidR="005224F7" w:rsidRPr="005224F7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fr-FR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5224F7" w14:paraId="046486A1" w14:textId="77777777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C57FA2" w14:textId="77777777" w:rsidR="005224F7" w:rsidRPr="005224F7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t>REPUBLICA MOLDOVA</w:t>
            </w:r>
          </w:p>
          <w:p w14:paraId="09BE5B99" w14:textId="77777777" w:rsidR="005224F7" w:rsidRPr="005224F7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CONSILIUL RAIONAL HÎNCEŞTI</w:t>
            </w:r>
          </w:p>
          <w:p w14:paraId="66CCA5B7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 w:eastAsia="ru-RU"/>
              </w:rPr>
            </w:pPr>
          </w:p>
          <w:p w14:paraId="53FE52F8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MD-3400, mun. Hînceşti, str. M. Hîncu, 138</w:t>
            </w:r>
          </w:p>
          <w:p w14:paraId="5EC1C6BD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  <w:t>tel. (269) 2-20-48, fax (269) 2-23-02,</w:t>
            </w:r>
          </w:p>
          <w:p w14:paraId="4AF227E9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F1FB06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F2472BB" wp14:editId="745236E3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37E5CD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РЕСПУБЛИКА МОЛДОВА</w:t>
            </w:r>
          </w:p>
          <w:p w14:paraId="1777D466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РАЙОHНЫЙ СОВЕТ ХЫНЧЕШТЬ</w:t>
            </w:r>
          </w:p>
          <w:p w14:paraId="6B1C083F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  <w:p w14:paraId="2D7545C2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МД-3400, мун. Хынчешть, ул. М.Хынку, 1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14:paraId="0701FA79" w14:textId="77777777" w:rsidR="005224F7" w:rsidRPr="00E623B5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</w:t>
            </w:r>
            <w:r w:rsidRPr="00E6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(269) 2-20-48, 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факс</w:t>
            </w:r>
            <w:r w:rsidRPr="00E6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(269) 2-23-02,</w:t>
            </w:r>
          </w:p>
          <w:p w14:paraId="71F2A302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</w:tr>
    </w:tbl>
    <w:p w14:paraId="1F8D8E8E" w14:textId="79037BB9" w:rsidR="005224F7" w:rsidRPr="001A184F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  <w:r w:rsidRPr="001A184F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>D E C I Z I E</w:t>
      </w:r>
    </w:p>
    <w:p w14:paraId="3D617070" w14:textId="7347C082" w:rsidR="005224F7" w:rsidRPr="001A184F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</w:pPr>
      <w:r w:rsidRPr="001A184F">
        <w:rPr>
          <w:rFonts w:ascii="Times New Roman" w:eastAsia="Times New Roman" w:hAnsi="Times New Roman" w:cs="Times New Roman"/>
          <w:b/>
          <w:sz w:val="26"/>
          <w:szCs w:val="26"/>
          <w:lang w:val="pt-BR" w:eastAsia="ru-RU"/>
        </w:rPr>
        <w:t>mun.Hînceşti</w:t>
      </w:r>
    </w:p>
    <w:p w14:paraId="5E235F7D" w14:textId="1F806CA5" w:rsidR="005224F7" w:rsidRPr="001A184F" w:rsidRDefault="00E87829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din </w:t>
      </w:r>
      <w:r w:rsidR="00E623B5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 martie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E623B5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  nr.</w:t>
      </w:r>
      <w:r w:rsidR="0010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10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="00E623B5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</w:p>
    <w:p w14:paraId="0E132058" w14:textId="77777777" w:rsidR="005224F7" w:rsidRPr="001A184F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DDF4376" w14:textId="77777777" w:rsidR="00793BF1" w:rsidRPr="001A184F" w:rsidRDefault="005224F7" w:rsidP="00793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Cu privire la</w:t>
      </w:r>
      <w:r w:rsidR="00793BF1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repararea pagubei pricinuite</w:t>
      </w:r>
    </w:p>
    <w:p w14:paraId="7AD7E270" w14:textId="392BD84A" w:rsidR="00793BF1" w:rsidRPr="001A184F" w:rsidRDefault="00793BF1" w:rsidP="00793B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prin retragerea sectorului de teren agricol</w:t>
      </w:r>
    </w:p>
    <w:p w14:paraId="35173C08" w14:textId="5766C078" w:rsidR="00BB4491" w:rsidRPr="001A184F" w:rsidRDefault="00BB4491" w:rsidP="00BB4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65772E" w14:textId="6910AF83" w:rsidR="005224F7" w:rsidRPr="001A184F" w:rsidRDefault="00793BF1" w:rsidP="00E87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84F">
        <w:rPr>
          <w:rFonts w:ascii="Times New Roman" w:hAnsi="Times New Roman" w:cs="Times New Roman"/>
          <w:sz w:val="26"/>
          <w:szCs w:val="26"/>
        </w:rPr>
        <w:t>Având în vedere că</w:t>
      </w:r>
      <w:r w:rsidR="00C52412" w:rsidRPr="001A184F">
        <w:rPr>
          <w:rFonts w:ascii="Times New Roman" w:hAnsi="Times New Roman" w:cs="Times New Roman"/>
          <w:sz w:val="26"/>
          <w:szCs w:val="26"/>
        </w:rPr>
        <w:t>,</w:t>
      </w:r>
      <w:r w:rsidRPr="001A184F">
        <w:rPr>
          <w:rFonts w:ascii="Times New Roman" w:hAnsi="Times New Roman" w:cs="Times New Roman"/>
          <w:sz w:val="26"/>
          <w:szCs w:val="26"/>
        </w:rPr>
        <w:t xml:space="preserve"> prin construcția în sectorul de teren agricol (nr. cadastral 6023112.046), aflat în proprietatea dnei Buza Ludmila, a punctului de influență rachetară asupra proceselor hidrometeo</w:t>
      </w:r>
      <w:r w:rsidR="00C52412" w:rsidRPr="001A184F">
        <w:rPr>
          <w:rFonts w:ascii="Times New Roman" w:hAnsi="Times New Roman" w:cs="Times New Roman"/>
          <w:sz w:val="26"/>
          <w:szCs w:val="26"/>
        </w:rPr>
        <w:t>,</w:t>
      </w:r>
      <w:r w:rsidRPr="001A184F">
        <w:rPr>
          <w:rFonts w:ascii="Times New Roman" w:hAnsi="Times New Roman" w:cs="Times New Roman"/>
          <w:sz w:val="26"/>
          <w:szCs w:val="26"/>
        </w:rPr>
        <w:t xml:space="preserve"> au fost pricinuite pagube cauzate de retragerea</w:t>
      </w:r>
      <w:r w:rsidR="00C52412" w:rsidRPr="001A184F">
        <w:rPr>
          <w:rFonts w:ascii="Times New Roman" w:hAnsi="Times New Roman" w:cs="Times New Roman"/>
          <w:sz w:val="26"/>
          <w:szCs w:val="26"/>
        </w:rPr>
        <w:t xml:space="preserve">, în fapt, a exploatației funciare din folosința deținătorului de teren, de asemenea, luând în considerație faptul că comisia </w:t>
      </w:r>
      <w:r w:rsidR="00C35F00" w:rsidRPr="001A184F">
        <w:rPr>
          <w:rFonts w:ascii="Times New Roman" w:hAnsi="Times New Roman" w:cs="Times New Roman"/>
          <w:sz w:val="26"/>
          <w:szCs w:val="26"/>
        </w:rPr>
        <w:t>de soluționare a întâmpinării, examinând exigențele</w:t>
      </w:r>
      <w:r w:rsidR="00F062FF" w:rsidRPr="001A184F">
        <w:rPr>
          <w:rFonts w:ascii="Times New Roman" w:hAnsi="Times New Roman" w:cs="Times New Roman"/>
          <w:sz w:val="26"/>
          <w:szCs w:val="26"/>
        </w:rPr>
        <w:t xml:space="preserve"> proprii ale</w:t>
      </w:r>
      <w:r w:rsidR="00C35F00" w:rsidRPr="001A184F">
        <w:rPr>
          <w:rFonts w:ascii="Times New Roman" w:hAnsi="Times New Roman" w:cs="Times New Roman"/>
          <w:sz w:val="26"/>
          <w:szCs w:val="26"/>
        </w:rPr>
        <w:t xml:space="preserve"> expropriatului</w:t>
      </w:r>
      <w:r w:rsidR="00F062FF" w:rsidRPr="001A184F">
        <w:rPr>
          <w:rFonts w:ascii="Times New Roman" w:hAnsi="Times New Roman" w:cs="Times New Roman"/>
          <w:sz w:val="26"/>
          <w:szCs w:val="26"/>
        </w:rPr>
        <w:t xml:space="preserve"> cu privire la condițiile exproprierii</w:t>
      </w:r>
      <w:r w:rsidR="00486C5E" w:rsidRPr="001A184F">
        <w:rPr>
          <w:rFonts w:ascii="Times New Roman" w:hAnsi="Times New Roman" w:cs="Times New Roman"/>
          <w:sz w:val="26"/>
          <w:szCs w:val="26"/>
        </w:rPr>
        <w:t xml:space="preserve"> (decizia Nr. 3 din 26.01.2021)</w:t>
      </w:r>
      <w:r w:rsidR="00C35F00" w:rsidRPr="001A184F">
        <w:rPr>
          <w:rFonts w:ascii="Times New Roman" w:hAnsi="Times New Roman" w:cs="Times New Roman"/>
          <w:sz w:val="26"/>
          <w:szCs w:val="26"/>
        </w:rPr>
        <w:t xml:space="preserve">, </w:t>
      </w:r>
      <w:r w:rsidR="002355D1" w:rsidRPr="001A184F">
        <w:rPr>
          <w:rFonts w:ascii="Times New Roman" w:hAnsi="Times New Roman" w:cs="Times New Roman"/>
          <w:sz w:val="26"/>
          <w:szCs w:val="26"/>
        </w:rPr>
        <w:t>a convenit cu acesta asupra necesității compensării pagubei în mărime de 10500 lei</w:t>
      </w:r>
      <w:r w:rsidR="00F062FF" w:rsidRPr="001A184F">
        <w:rPr>
          <w:rFonts w:ascii="Times New Roman" w:hAnsi="Times New Roman" w:cs="Times New Roman"/>
          <w:sz w:val="26"/>
          <w:szCs w:val="26"/>
        </w:rPr>
        <w:t xml:space="preserve"> pentru perioada de </w:t>
      </w:r>
      <w:r w:rsidR="00421948" w:rsidRPr="001A184F">
        <w:rPr>
          <w:rFonts w:ascii="Times New Roman" w:hAnsi="Times New Roman" w:cs="Times New Roman"/>
          <w:sz w:val="26"/>
          <w:szCs w:val="26"/>
        </w:rPr>
        <w:t>retragere</w:t>
      </w:r>
      <w:r w:rsidR="00F062FF" w:rsidRPr="001A184F">
        <w:rPr>
          <w:rFonts w:ascii="Times New Roman" w:hAnsi="Times New Roman" w:cs="Times New Roman"/>
          <w:sz w:val="26"/>
          <w:szCs w:val="26"/>
        </w:rPr>
        <w:t xml:space="preserve"> a terenului între anii 2013-2020</w:t>
      </w:r>
      <w:r w:rsidR="00486C5E" w:rsidRPr="001A184F">
        <w:rPr>
          <w:rFonts w:ascii="Times New Roman" w:hAnsi="Times New Roman" w:cs="Times New Roman"/>
          <w:sz w:val="26"/>
          <w:szCs w:val="26"/>
        </w:rPr>
        <w:t xml:space="preserve"> și </w:t>
      </w:r>
      <w:r w:rsidR="002B1791" w:rsidRPr="001A184F">
        <w:rPr>
          <w:rFonts w:ascii="Times New Roman" w:hAnsi="Times New Roman" w:cs="Times New Roman"/>
          <w:sz w:val="26"/>
          <w:szCs w:val="26"/>
        </w:rPr>
        <w:t xml:space="preserve">a cheltuielilor aferente ce vor apărea în procesul efectuării schimbului de terenuri </w:t>
      </w:r>
      <w:r w:rsidR="00421948" w:rsidRPr="001A184F">
        <w:rPr>
          <w:rFonts w:ascii="Times New Roman" w:hAnsi="Times New Roman" w:cs="Times New Roman"/>
          <w:sz w:val="26"/>
          <w:szCs w:val="26"/>
        </w:rPr>
        <w:t xml:space="preserve">învoit </w:t>
      </w:r>
      <w:r w:rsidR="002B1791" w:rsidRPr="001A184F">
        <w:rPr>
          <w:rFonts w:ascii="Times New Roman" w:hAnsi="Times New Roman" w:cs="Times New Roman"/>
          <w:sz w:val="26"/>
          <w:szCs w:val="26"/>
        </w:rPr>
        <w:t>dintre dna Buza și autoritățile administrației publice ale satului Cățeleni</w:t>
      </w:r>
      <w:r w:rsidR="00421948" w:rsidRPr="001A184F">
        <w:rPr>
          <w:rFonts w:ascii="Times New Roman" w:hAnsi="Times New Roman" w:cs="Times New Roman"/>
          <w:sz w:val="26"/>
          <w:szCs w:val="26"/>
        </w:rPr>
        <w:t xml:space="preserve"> întru înlocuirea terenului ocupat de construcția menționată</w:t>
      </w:r>
      <w:r w:rsidR="002B1791" w:rsidRPr="001A184F">
        <w:rPr>
          <w:rFonts w:ascii="Times New Roman" w:hAnsi="Times New Roman" w:cs="Times New Roman"/>
          <w:sz w:val="26"/>
          <w:szCs w:val="26"/>
        </w:rPr>
        <w:t xml:space="preserve">, </w:t>
      </w:r>
      <w:r w:rsidR="009432A6" w:rsidRPr="001A184F">
        <w:rPr>
          <w:rFonts w:ascii="Times New Roman" w:hAnsi="Times New Roman" w:cs="Times New Roman"/>
          <w:sz w:val="26"/>
          <w:szCs w:val="26"/>
        </w:rPr>
        <w:t xml:space="preserve">în conformitate cu prevederile </w:t>
      </w:r>
      <w:r w:rsidR="00F062FF" w:rsidRPr="001A184F">
        <w:rPr>
          <w:rFonts w:ascii="Times New Roman" w:hAnsi="Times New Roman" w:cs="Times New Roman"/>
          <w:sz w:val="26"/>
          <w:szCs w:val="26"/>
        </w:rPr>
        <w:t>art. 97 alin. întâi și doi din Codul Nr. 828/1991 Codul Funciar și art. 1</w:t>
      </w:r>
      <w:r w:rsidR="00486C5E" w:rsidRPr="001A184F">
        <w:rPr>
          <w:rFonts w:ascii="Times New Roman" w:hAnsi="Times New Roman" w:cs="Times New Roman"/>
          <w:sz w:val="26"/>
          <w:szCs w:val="26"/>
        </w:rPr>
        <w:t>2 alin. (3</w:t>
      </w:r>
      <w:r w:rsidR="00F062FF" w:rsidRPr="001A184F">
        <w:rPr>
          <w:rFonts w:ascii="Times New Roman" w:hAnsi="Times New Roman" w:cs="Times New Roman"/>
          <w:sz w:val="26"/>
          <w:szCs w:val="26"/>
        </w:rPr>
        <w:t>) și (4)</w:t>
      </w:r>
      <w:r w:rsidR="00486C5E" w:rsidRPr="001A184F">
        <w:rPr>
          <w:rFonts w:ascii="Times New Roman" w:hAnsi="Times New Roman" w:cs="Times New Roman"/>
          <w:sz w:val="26"/>
          <w:szCs w:val="26"/>
        </w:rPr>
        <w:t xml:space="preserve"> </w:t>
      </w:r>
      <w:r w:rsidR="00F062FF" w:rsidRPr="001A184F">
        <w:rPr>
          <w:rFonts w:ascii="Times New Roman" w:hAnsi="Times New Roman" w:cs="Times New Roman"/>
          <w:sz w:val="26"/>
          <w:szCs w:val="26"/>
        </w:rPr>
        <w:t xml:space="preserve">din Legea Nr. 488/199 exproprierii pentru cauză de utilitate publică </w:t>
      </w:r>
      <w:r w:rsidR="00BB4491" w:rsidRPr="001A184F">
        <w:rPr>
          <w:rFonts w:ascii="Times New Roman" w:hAnsi="Times New Roman" w:cs="Times New Roman"/>
          <w:color w:val="000000"/>
          <w:sz w:val="26"/>
          <w:szCs w:val="26"/>
        </w:rPr>
        <w:t xml:space="preserve">și </w:t>
      </w:r>
      <w:r w:rsidR="00BB4491" w:rsidRPr="001A184F">
        <w:rPr>
          <w:rFonts w:ascii="Times New Roman" w:hAnsi="Times New Roman" w:cs="Times New Roman"/>
          <w:sz w:val="26"/>
          <w:szCs w:val="26"/>
        </w:rPr>
        <w:t>în temeiul</w:t>
      </w:r>
      <w:r w:rsidR="00BB4491" w:rsidRPr="001A18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4491" w:rsidRPr="001A184F">
        <w:rPr>
          <w:rFonts w:ascii="Times New Roman" w:hAnsi="Times New Roman" w:cs="Times New Roman"/>
          <w:sz w:val="26"/>
          <w:szCs w:val="26"/>
        </w:rPr>
        <w:t xml:space="preserve">art. </w:t>
      </w:r>
      <w:r w:rsidR="00BB4491" w:rsidRPr="001A184F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BB4491" w:rsidRPr="001A184F">
        <w:rPr>
          <w:rFonts w:ascii="Times New Roman" w:hAnsi="Times New Roman" w:cs="Times New Roman"/>
          <w:sz w:val="26"/>
          <w:szCs w:val="26"/>
        </w:rPr>
        <w:t>alin. (2) şi art. 46 alin. (1) din Legea Nr. 436</w:t>
      </w:r>
      <w:r w:rsidR="00BE245D" w:rsidRPr="001A184F">
        <w:rPr>
          <w:rFonts w:ascii="Times New Roman" w:hAnsi="Times New Roman" w:cs="Times New Roman"/>
          <w:sz w:val="26"/>
          <w:szCs w:val="26"/>
        </w:rPr>
        <w:t>/</w:t>
      </w:r>
      <w:r w:rsidR="00BB4491" w:rsidRPr="001A184F">
        <w:rPr>
          <w:rFonts w:ascii="Times New Roman" w:hAnsi="Times New Roman" w:cs="Times New Roman"/>
          <w:sz w:val="26"/>
          <w:szCs w:val="26"/>
        </w:rPr>
        <w:t>2006 privind administraţia publică locală</w:t>
      </w:r>
      <w:r w:rsidR="005224F7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, Consiliul raional</w:t>
      </w:r>
      <w:r w:rsidR="000C20F3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Hîncești </w:t>
      </w:r>
      <w:r w:rsidR="005224F7" w:rsidRPr="001A18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DECIDE:</w:t>
      </w:r>
    </w:p>
    <w:p w14:paraId="7099DE59" w14:textId="77777777" w:rsidR="005224F7" w:rsidRPr="001A184F" w:rsidRDefault="005224F7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5AC79E" w14:textId="5EFFD4B8" w:rsidR="00097E29" w:rsidRPr="00104CA9" w:rsidRDefault="005224F7" w:rsidP="00104CA9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Se</w:t>
      </w:r>
      <w:r w:rsidR="00CF5137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aprobă, ca f</w:t>
      </w:r>
      <w:r w:rsidR="000E0086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ăcând</w:t>
      </w:r>
      <w:r w:rsidR="00CF5137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parte </w:t>
      </w:r>
      <w:r w:rsidR="000E0086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din</w:t>
      </w:r>
      <w:r w:rsidR="00CF5137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ofert</w:t>
      </w:r>
      <w:r w:rsidR="000E0086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a</w:t>
      </w:r>
      <w:r w:rsidR="00CF5137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de despăgubire și</w:t>
      </w:r>
      <w:r w:rsidR="000E0086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fiind în valoarea bănească indicată în întâmpinarea împotriva propunerii de expropriere</w:t>
      </w:r>
      <w:r w:rsidR="00CF5137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0086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pagubele pricinuite dnei Buza Ludmila, proprietarul sectorului de teren agricol cu numărul cadastral 6026112.046, pe care a fost construit </w:t>
      </w:r>
      <w:r w:rsidR="000E0086" w:rsidRPr="001A184F">
        <w:rPr>
          <w:rFonts w:ascii="Times New Roman" w:hAnsi="Times New Roman" w:cs="Times New Roman"/>
          <w:sz w:val="26"/>
          <w:szCs w:val="26"/>
        </w:rPr>
        <w:t>punctul de influență rachetară asupra proceselor hidrometeo din extravilanul satului Cățeleni.</w:t>
      </w:r>
      <w:r w:rsidR="000E0086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60B0E2" w14:textId="31EEEC36" w:rsidR="00A5268C" w:rsidRPr="00104CA9" w:rsidRDefault="005224F7" w:rsidP="00104CA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</w:t>
      </w:r>
      <w:r w:rsidR="00B016E7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ia act de faptul că autoritățile administrației publice ale satului Cățeleni îi vor atribui dnei Buza Ludmila, în procedură de schimb</w:t>
      </w:r>
      <w:r w:rsidR="004523C6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de terenuri</w:t>
      </w:r>
      <w:r w:rsidR="00B016E7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523C6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un sector de teren agricol din fondul de rezervă al satului</w:t>
      </w:r>
      <w:r w:rsidR="00626D0A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asupra căruia părțile au convenit mutual</w:t>
      </w:r>
      <w:r w:rsidR="004523C6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echivalent ca valoare economică cu cel ocupat de obiectul de construcție</w:t>
      </w:r>
      <w:r w:rsidR="007D6BF0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întru compensarea bunului imobil</w:t>
      </w:r>
      <w:r w:rsidR="00626D0A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ce-i aparține, retras în fapt</w:t>
      </w:r>
      <w:r w:rsidR="00A5268C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C7A3F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FA5D3F2" w14:textId="0713EB09" w:rsidR="00046C75" w:rsidRPr="00104CA9" w:rsidRDefault="004523C6" w:rsidP="00104CA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Se autorizează președintele raionului, dl LEVINSCHI Iurie, să </w:t>
      </w:r>
      <w:r w:rsidR="007D6BF0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achite</w:t>
      </w:r>
      <w:r w:rsidR="00046C75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dnei Buza Ludmila</w:t>
      </w:r>
      <w:r w:rsidR="007D6BF0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din mijloacele preconizate pentru acțiunile de expropriere a terenurilor, </w:t>
      </w:r>
      <w:r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plata în sumă de 10500 lei</w:t>
      </w:r>
      <w:r w:rsidR="00046C75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6BF0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în calitate de pagube pricinuite prin retragerea sectorului de teren agricol</w:t>
      </w:r>
      <w:r w:rsidR="00046C75" w:rsidRPr="001A1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pentru construcția obiectului nominalizat și cheltuielile aferente schimbului de terenuri ce le va suporta aceasta ca parte a procesului în cauză.</w:t>
      </w:r>
    </w:p>
    <w:p w14:paraId="12E6144F" w14:textId="4BB33B97" w:rsidR="00046C75" w:rsidRPr="001A184F" w:rsidRDefault="00046C75" w:rsidP="0011431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Se stabilește că cheltuielile legate de schimbul de terenuri vor fi achitate</w:t>
      </w:r>
      <w:r w:rsidR="001A184F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după prezentarea de către solicitant a </w:t>
      </w:r>
      <w:r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documentelor </w:t>
      </w:r>
      <w:r w:rsidR="001A184F"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>de plată justificative de la instituțiile de resort.</w:t>
      </w:r>
      <w:r w:rsidRPr="001A1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E481F1" w14:textId="77777777" w:rsidR="00F95E63" w:rsidRPr="001A184F" w:rsidRDefault="00F95E63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635452" w14:textId="4768725F" w:rsidR="005224F7" w:rsidRPr="001A184F" w:rsidRDefault="00104CA9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Preşedintele</w:t>
      </w:r>
      <w:r w:rsidR="00EF1FE0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şedinţei:                                                    </w:t>
      </w:r>
      <w:r w:rsidR="000C20F3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</w:p>
    <w:p w14:paraId="66713D8E" w14:textId="77777777" w:rsidR="00F95E63" w:rsidRPr="001A184F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A18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Contrasemnează:</w:t>
      </w:r>
    </w:p>
    <w:p w14:paraId="7B8F7778" w14:textId="122B2C91" w:rsidR="00F95E63" w:rsidRPr="00104CA9" w:rsidRDefault="00104CA9" w:rsidP="00104CA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Secretarul Consiliului</w:t>
      </w:r>
      <w:r w:rsidR="00EF1FE0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Raional Hînceşti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5224F7" w:rsidRPr="001A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Elena MORARU TOMA</w:t>
      </w:r>
    </w:p>
    <w:p w14:paraId="5A4A77A3" w14:textId="77777777" w:rsidR="00F95E63" w:rsidRPr="00F95E63" w:rsidRDefault="00F95E63" w:rsidP="00F95E63">
      <w:pPr>
        <w:rPr>
          <w:rFonts w:ascii="Times New Roman" w:hAnsi="Times New Roman" w:cs="Times New Roman"/>
          <w:sz w:val="16"/>
          <w:szCs w:val="16"/>
        </w:rPr>
      </w:pPr>
      <w:r w:rsidRPr="00F95E63">
        <w:rPr>
          <w:rFonts w:ascii="Times New Roman" w:hAnsi="Times New Roman" w:cs="Times New Roman"/>
          <w:sz w:val="16"/>
          <w:szCs w:val="16"/>
        </w:rPr>
        <w:t>Inițiat: _______________ Iurie Levinschi, Președintele raionului Hîncești</w:t>
      </w:r>
    </w:p>
    <w:p w14:paraId="75DC7D8E" w14:textId="77777777" w:rsidR="00F95E63" w:rsidRPr="00F95E63" w:rsidRDefault="00F95E63" w:rsidP="00F95E63">
      <w:pPr>
        <w:rPr>
          <w:rFonts w:ascii="Times New Roman" w:hAnsi="Times New Roman" w:cs="Times New Roman"/>
          <w:sz w:val="16"/>
          <w:szCs w:val="16"/>
        </w:rPr>
      </w:pPr>
      <w:r w:rsidRPr="00F95E63">
        <w:rPr>
          <w:rFonts w:ascii="Times New Roman" w:hAnsi="Times New Roman" w:cs="Times New Roman"/>
          <w:sz w:val="16"/>
          <w:szCs w:val="16"/>
        </w:rPr>
        <w:t>Elaborat_______________Victor Rachiu, Șeful Serviciului relații funciare și cadastru;</w:t>
      </w:r>
    </w:p>
    <w:p w14:paraId="3F0DBC63" w14:textId="6058FA3F" w:rsidR="00F95E63" w:rsidRPr="00104CA9" w:rsidRDefault="00F95E63" w:rsidP="00F95E63">
      <w:pPr>
        <w:rPr>
          <w:rFonts w:ascii="Times New Roman" w:hAnsi="Times New Roman" w:cs="Times New Roman"/>
          <w:sz w:val="16"/>
          <w:szCs w:val="16"/>
        </w:rPr>
      </w:pPr>
      <w:r w:rsidRPr="00F95E63">
        <w:rPr>
          <w:rFonts w:ascii="Times New Roman" w:hAnsi="Times New Roman" w:cs="Times New Roman"/>
          <w:sz w:val="16"/>
          <w:szCs w:val="16"/>
        </w:rPr>
        <w:t xml:space="preserve">Avizat: _____________ Sergiu Pascal, specialist principal (jurist), Aparatul </w:t>
      </w:r>
      <w:r w:rsidR="00104CA9" w:rsidRPr="00F95E63">
        <w:rPr>
          <w:rFonts w:ascii="Times New Roman" w:hAnsi="Times New Roman" w:cs="Times New Roman"/>
          <w:sz w:val="16"/>
          <w:szCs w:val="16"/>
        </w:rPr>
        <w:t>președintelui</w:t>
      </w:r>
      <w:r w:rsidRPr="00F95E63">
        <w:rPr>
          <w:rFonts w:ascii="Times New Roman" w:hAnsi="Times New Roman" w:cs="Times New Roman"/>
          <w:sz w:val="16"/>
          <w:szCs w:val="16"/>
        </w:rPr>
        <w:t xml:space="preserve"> </w:t>
      </w:r>
      <w:r w:rsidR="00104CA9" w:rsidRPr="00F95E63">
        <w:rPr>
          <w:rFonts w:ascii="Times New Roman" w:hAnsi="Times New Roman" w:cs="Times New Roman"/>
          <w:sz w:val="16"/>
          <w:szCs w:val="16"/>
        </w:rPr>
        <w:t>raionul</w:t>
      </w:r>
      <w:r w:rsidR="00104CA9">
        <w:rPr>
          <w:rFonts w:ascii="Times New Roman" w:hAnsi="Times New Roman" w:cs="Times New Roman"/>
          <w:sz w:val="16"/>
          <w:szCs w:val="16"/>
        </w:rPr>
        <w:t>ui</w:t>
      </w:r>
    </w:p>
    <w:p w14:paraId="6E09B9F3" w14:textId="77777777" w:rsidR="00F95E63" w:rsidRPr="00F95E63" w:rsidRDefault="00F95E63" w:rsidP="00F95E63">
      <w:pPr>
        <w:rPr>
          <w:rFonts w:ascii="Times New Roman" w:hAnsi="Times New Roman" w:cs="Times New Roman"/>
        </w:rPr>
      </w:pPr>
    </w:p>
    <w:p w14:paraId="1A2360C5" w14:textId="77777777" w:rsidR="00F95E63" w:rsidRPr="001A184F" w:rsidRDefault="00F95E63" w:rsidP="001A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4F">
        <w:rPr>
          <w:rFonts w:ascii="Times New Roman" w:hAnsi="Times New Roman" w:cs="Times New Roman"/>
          <w:b/>
          <w:sz w:val="28"/>
          <w:szCs w:val="28"/>
        </w:rPr>
        <w:lastRenderedPageBreak/>
        <w:t>NOTA INFORMATIVĂ</w:t>
      </w:r>
    </w:p>
    <w:p w14:paraId="5A442C39" w14:textId="77777777" w:rsidR="00F95E63" w:rsidRPr="001A184F" w:rsidRDefault="00F95E63" w:rsidP="001A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4F">
        <w:rPr>
          <w:rFonts w:ascii="Times New Roman" w:hAnsi="Times New Roman" w:cs="Times New Roman"/>
          <w:b/>
          <w:sz w:val="28"/>
          <w:szCs w:val="28"/>
        </w:rPr>
        <w:t>la proiectul Deciziei</w:t>
      </w:r>
    </w:p>
    <w:p w14:paraId="327161F7" w14:textId="77777777" w:rsidR="001A184F" w:rsidRPr="001A184F" w:rsidRDefault="001A184F" w:rsidP="001A1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 repararea pagubei pricinuite</w:t>
      </w:r>
    </w:p>
    <w:p w14:paraId="42C7FFD2" w14:textId="3556672A" w:rsidR="001A184F" w:rsidRPr="001A184F" w:rsidRDefault="001A184F" w:rsidP="001A1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prin retragerea sectorului de teren agricol</w:t>
      </w:r>
    </w:p>
    <w:p w14:paraId="4EC07892" w14:textId="77777777" w:rsidR="001A184F" w:rsidRPr="001A184F" w:rsidRDefault="001A184F" w:rsidP="001A1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5E63" w:rsidRPr="00F95E63" w14:paraId="2788203D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7B78C25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F95E63" w:rsidRPr="00F95E63" w14:paraId="1D6D8CA0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1DD" w14:textId="77777777" w:rsidR="00F95E63" w:rsidRPr="00F95E63" w:rsidRDefault="00F95E63" w:rsidP="006A1E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F95E6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F95E63" w:rsidRPr="00F95E63" w14:paraId="5AC290C0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89897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F95E63" w:rsidRPr="00223A1E" w14:paraId="00D4E42A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2EB" w14:textId="4A0C3A28" w:rsidR="00F95E63" w:rsidRPr="00F95E63" w:rsidRDefault="001A184F" w:rsidP="001A1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84F">
              <w:rPr>
                <w:rFonts w:ascii="Times New Roman" w:hAnsi="Times New Roman" w:cs="Times New Roman"/>
                <w:sz w:val="26"/>
                <w:szCs w:val="26"/>
              </w:rPr>
              <w:t>Codul Nr. 828/1991 Codul Funciar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184F">
              <w:rPr>
                <w:rFonts w:ascii="Times New Roman" w:hAnsi="Times New Roman" w:cs="Times New Roman"/>
                <w:sz w:val="26"/>
                <w:szCs w:val="26"/>
              </w:rPr>
              <w:t>art. 97 alin. întâi și doi și Legea Nr. 488/199 exproprierii pentru cauză de utilitate publică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184F">
              <w:rPr>
                <w:rFonts w:ascii="Times New Roman" w:hAnsi="Times New Roman" w:cs="Times New Roman"/>
                <w:sz w:val="26"/>
                <w:szCs w:val="26"/>
              </w:rPr>
              <w:t>art. 12 alin. (3) și (4)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5E63" w:rsidRPr="00F95E63" w14:paraId="33D0B5DE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1DD3A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F95E63" w:rsidRPr="00F95E63" w14:paraId="1E823ACF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2AC" w14:textId="12BA8A62" w:rsidR="00F95E63" w:rsidRPr="00104CA9" w:rsidRDefault="00F95E63" w:rsidP="00254F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</w:t>
            </w:r>
            <w:r w:rsidR="001A184F">
              <w:rPr>
                <w:rFonts w:ascii="Times New Roman" w:hAnsi="Times New Roman" w:cs="Times New Roman"/>
                <w:sz w:val="28"/>
                <w:szCs w:val="28"/>
              </w:rPr>
              <w:t xml:space="preserve">își pune ca obiectiv </w:t>
            </w:r>
            <w:r w:rsidR="00254FFE">
              <w:rPr>
                <w:rFonts w:ascii="Times New Roman" w:hAnsi="Times New Roman" w:cs="Times New Roman"/>
                <w:sz w:val="28"/>
                <w:szCs w:val="28"/>
              </w:rPr>
              <w:t>să realizeze decizia Comisiei de soluționare a întâmpinării dnei Buza Ludmila împotriva propunerii de expropriere făcută anterior de forul raional deliberativ, decizie asupra căreia părțile conflictului au ajuns reciproc la un acord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E63" w:rsidRPr="00F95E63" w14:paraId="56953E94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16CBCE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F95E63" w:rsidRPr="00F95E63" w14:paraId="18060C06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C11" w14:textId="77777777" w:rsidR="00F95E63" w:rsidRPr="00F95E63" w:rsidRDefault="00F95E63" w:rsidP="006A1E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F95E63" w:rsidRPr="00F95E63" w14:paraId="3CE08EC3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07FF79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F95E63" w:rsidRPr="00583805" w14:paraId="3EC55272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A576" w14:textId="0F2963D9" w:rsidR="00F95E63" w:rsidRPr="00F95E63" w:rsidRDefault="00F95E63" w:rsidP="005838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 __ din ___, 202</w:t>
            </w:r>
            <w:r w:rsidR="0058380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F95E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805" w:rsidRPr="000C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Cu privire la</w:t>
            </w:r>
            <w:r w:rsidR="005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formarea unor încăperi izolate în clădirea identificată sub numărul cadastral 5337203.329.01</w:t>
            </w: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32F8AA32" w14:textId="77777777" w:rsidR="00F95E63" w:rsidRPr="00F95E63" w:rsidRDefault="00F95E63" w:rsidP="00F95E6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5FE49" w14:textId="77777777" w:rsidR="00F95E63" w:rsidRPr="00F95E63" w:rsidRDefault="00F95E63" w:rsidP="00F95E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8D9E2" w14:textId="77777777" w:rsidR="00F95E63" w:rsidRPr="00F95E63" w:rsidRDefault="00F95E63" w:rsidP="00F95E63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6BA91D" w14:textId="77777777" w:rsidR="00F95E63" w:rsidRPr="00F95E63" w:rsidRDefault="00F95E63" w:rsidP="00F95E6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5E6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14:paraId="1BC3441C" w14:textId="49527122" w:rsidR="00AD2A66" w:rsidRPr="00F95E63" w:rsidRDefault="00F95E63" w:rsidP="00583805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63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14:paraId="6CD64D28" w14:textId="77777777" w:rsidR="00F95E63" w:rsidRPr="00F95E63" w:rsidRDefault="00F95E63" w:rsidP="00AD2A66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5E63" w:rsidRPr="00F95E63" w:rsidSect="001A184F">
      <w:footnotePr>
        <w:pos w:val="beneathText"/>
      </w:footnotePr>
      <w:pgSz w:w="11905" w:h="16837"/>
      <w:pgMar w:top="284" w:right="567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0"/>
    <w:rsid w:val="00046C75"/>
    <w:rsid w:val="00097E29"/>
    <w:rsid w:val="000A04E7"/>
    <w:rsid w:val="000B5082"/>
    <w:rsid w:val="000C20F3"/>
    <w:rsid w:val="000E0086"/>
    <w:rsid w:val="000F3D06"/>
    <w:rsid w:val="00104CA9"/>
    <w:rsid w:val="001607B8"/>
    <w:rsid w:val="00193519"/>
    <w:rsid w:val="001A184F"/>
    <w:rsid w:val="001D1ACA"/>
    <w:rsid w:val="001D58A1"/>
    <w:rsid w:val="00223A1E"/>
    <w:rsid w:val="00234DF0"/>
    <w:rsid w:val="002355D1"/>
    <w:rsid w:val="00254FFE"/>
    <w:rsid w:val="002B1791"/>
    <w:rsid w:val="003301E7"/>
    <w:rsid w:val="00367F11"/>
    <w:rsid w:val="003D3526"/>
    <w:rsid w:val="003E17E0"/>
    <w:rsid w:val="003F7911"/>
    <w:rsid w:val="00421948"/>
    <w:rsid w:val="004523C6"/>
    <w:rsid w:val="00486C5E"/>
    <w:rsid w:val="005224F7"/>
    <w:rsid w:val="00583805"/>
    <w:rsid w:val="005A6A1E"/>
    <w:rsid w:val="005F6390"/>
    <w:rsid w:val="00626D0A"/>
    <w:rsid w:val="00630EDA"/>
    <w:rsid w:val="00692638"/>
    <w:rsid w:val="006C4424"/>
    <w:rsid w:val="00701FFD"/>
    <w:rsid w:val="00793BF1"/>
    <w:rsid w:val="007A0846"/>
    <w:rsid w:val="007D6BF0"/>
    <w:rsid w:val="00882690"/>
    <w:rsid w:val="008E1C74"/>
    <w:rsid w:val="009432A6"/>
    <w:rsid w:val="00982439"/>
    <w:rsid w:val="009C552C"/>
    <w:rsid w:val="00A5268C"/>
    <w:rsid w:val="00AD2A66"/>
    <w:rsid w:val="00B016E7"/>
    <w:rsid w:val="00BB4491"/>
    <w:rsid w:val="00BE245D"/>
    <w:rsid w:val="00C35F00"/>
    <w:rsid w:val="00C52412"/>
    <w:rsid w:val="00C54B90"/>
    <w:rsid w:val="00CC7A3F"/>
    <w:rsid w:val="00CE7029"/>
    <w:rsid w:val="00CF5137"/>
    <w:rsid w:val="00D06EC0"/>
    <w:rsid w:val="00D36CEB"/>
    <w:rsid w:val="00D53997"/>
    <w:rsid w:val="00D94343"/>
    <w:rsid w:val="00E623B5"/>
    <w:rsid w:val="00E87829"/>
    <w:rsid w:val="00EF1FE0"/>
    <w:rsid w:val="00F062FF"/>
    <w:rsid w:val="00F628D0"/>
    <w:rsid w:val="00F82E4E"/>
    <w:rsid w:val="00F95E63"/>
    <w:rsid w:val="00FC0DE1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332"/>
  <w15:chartTrackingRefBased/>
  <w15:docId w15:val="{778BDA0E-FC6A-4944-BCE6-CD88F90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1FE0"/>
    <w:pPr>
      <w:ind w:left="720"/>
      <w:contextualSpacing/>
    </w:pPr>
  </w:style>
  <w:style w:type="paragraph" w:styleId="Corptext">
    <w:name w:val="Body Text"/>
    <w:basedOn w:val="Normal"/>
    <w:link w:val="CorptextCaracter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2021-02-24T07:05:00Z</cp:lastPrinted>
  <dcterms:created xsi:type="dcterms:W3CDTF">2021-02-26T08:13:00Z</dcterms:created>
  <dcterms:modified xsi:type="dcterms:W3CDTF">2021-02-26T08:13:00Z</dcterms:modified>
</cp:coreProperties>
</file>